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venir Medium" w:hAnsi="Avenir Medium"/>
          <w:iCs/>
          <w:smallCaps/>
          <w:color w:val="242852" w:themeColor="text2"/>
          <w:spacing w:val="5"/>
          <w:sz w:val="22"/>
          <w:szCs w:val="22"/>
        </w:rPr>
        <w:id w:val="-689369987"/>
        <w:docPartObj>
          <w:docPartGallery w:val="Cover Pages"/>
          <w:docPartUnique/>
        </w:docPartObj>
      </w:sdtPr>
      <w:sdtEndPr/>
      <w:sdtContent>
        <w:p w14:paraId="4EDD4DE2" w14:textId="21092A07" w:rsidR="0019384D" w:rsidRPr="00366A07" w:rsidRDefault="00366A07" w:rsidP="0019384D">
          <w:pPr>
            <w:rPr>
              <w:rFonts w:ascii="Avenir Medium" w:hAnsi="Avenir Medium"/>
              <w:iCs/>
              <w:color w:val="000000" w:themeColor="text1"/>
              <w:sz w:val="22"/>
              <w:szCs w:val="22"/>
            </w:rPr>
          </w:pPr>
          <w:r w:rsidRPr="005D5F70">
            <w:rPr>
              <w:noProof/>
              <w:color w:val="FFFFFF" w:themeColor="background1"/>
              <w:sz w:val="48"/>
              <w:szCs w:val="48"/>
              <w:lang w:eastAsia="en-US"/>
            </w:rPr>
            <mc:AlternateContent>
              <mc:Choice Requires="wps">
                <w:drawing>
                  <wp:anchor distT="0" distB="0" distL="114300" distR="114300" simplePos="0" relativeHeight="251693568" behindDoc="1" locked="0" layoutInCell="1" allowOverlap="1" wp14:anchorId="054DC19E" wp14:editId="67C86035">
                    <wp:simplePos x="0" y="0"/>
                    <wp:positionH relativeFrom="column">
                      <wp:posOffset>-114300</wp:posOffset>
                    </wp:positionH>
                    <wp:positionV relativeFrom="paragraph">
                      <wp:posOffset>-114300</wp:posOffset>
                    </wp:positionV>
                    <wp:extent cx="5943600" cy="5715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5943600" cy="571500"/>
                            </a:xfrm>
                            <a:prstGeom prst="rect">
                              <a:avLst/>
                            </a:prstGeom>
                            <a:solidFill>
                              <a:srgbClr val="137EBE"/>
                            </a:solidFill>
                            <a:ln>
                              <a:noFill/>
                            </a:ln>
                            <a:effectLst/>
                            <a:extLst>
                              <a:ext uri="{C572A759-6A51-4108-AA02-DFA0A04FC94B}">
                                <ma14:wrappingTextBoxFlag xmlns:ma14="http://schemas.microsoft.com/office/mac/drawingml/2011/main"/>
                              </a:ext>
                            </a:extLst>
                          </wps:spPr>
                          <wps:txbx>
                            <w:txbxContent>
                              <w:p w14:paraId="2D18FC3B" w14:textId="292A9D25" w:rsidR="00366A07" w:rsidRPr="00570CCE" w:rsidRDefault="00366A07" w:rsidP="00570CCE">
                                <w:pPr>
                                  <w:rPr>
                                    <w:rFonts w:ascii="Avenir Medium" w:hAnsi="Avenir Medium"/>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8.95pt;margin-top:-8.95pt;width:468pt;height: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" fillcolor="#137ebe" stroked="f">
                    <v:textbox>
                      <w:txbxContent>
                        <w:p w14:paraId="2D18FC3B" w14:textId="292A9D25" w:rsidR="00366A07" w:rsidRPr="00570CCE" w:rsidRDefault="00366A07" w:rsidP="00570CCE">
                          <w:pPr>
                            <w:rPr>
                              <w:rFonts w:ascii="Avenir Medium" w:hAnsi="Avenir Medium"/>
                              <w:color w:val="000000" w:themeColor="text1"/>
                            </w:rPr>
                          </w:pPr>
                        </w:p>
                      </w:txbxContent>
                    </v:textbox>
                  </v:shape>
                </w:pict>
              </mc:Fallback>
            </mc:AlternateContent>
          </w:r>
          <w:r w:rsidR="005D5F70" w:rsidRPr="005D5F70">
            <w:rPr>
              <w:rFonts w:ascii="Avenir Medium" w:hAnsi="Avenir Medium"/>
              <w:smallCaps/>
              <w:color w:val="FFFFFF" w:themeColor="background1"/>
              <w:spacing w:val="10"/>
              <w:sz w:val="48"/>
              <w:szCs w:val="48"/>
            </w:rPr>
            <w:t>GIFTS OF REAL ESTATE</w:t>
          </w:r>
          <w:r w:rsidR="005D5F70" w:rsidRPr="00366A07">
            <w:rPr>
              <w:rFonts w:ascii="Avenir Medium" w:hAnsi="Avenir Medium"/>
              <w:smallCaps/>
              <w:color w:val="000000" w:themeColor="text1"/>
              <w:spacing w:val="10"/>
              <w:sz w:val="22"/>
              <w:szCs w:val="22"/>
            </w:rPr>
            <w:t xml:space="preserve"> </w:t>
          </w:r>
          <w:sdt>
            <w:sdtPr>
              <w:rPr>
                <w:rFonts w:ascii="Avenir Medium" w:hAnsi="Avenir Medium"/>
                <w:iCs/>
                <w:color w:val="000000" w:themeColor="text1"/>
                <w:sz w:val="22"/>
                <w:szCs w:val="22"/>
              </w:rPr>
              <w:alias w:val="Subtitle"/>
              <w:id w:val="31400461"/>
              <w:dataBinding w:prefixMappings="xmlns:ns0='http://schemas.openxmlformats.org/package/2006/metadata/core-properties' xmlns:ns1='http://purl.org/dc/elements/1.1/'" w:xpath="/ns0:coreProperties[1]/ns1:subject[1]" w:storeItemID="{6C3C8BC8-F283-45AE-878A-BAB7291924A1}"/>
              <w:text/>
            </w:sdtPr>
            <w:sdtEndPr/>
            <w:sdtContent>
              <w:r w:rsidR="005D5F70" w:rsidRPr="00366A07">
                <w:rPr>
                  <w:rFonts w:ascii="Avenir Medium" w:hAnsi="Avenir Medium"/>
                  <w:iCs/>
                  <w:color w:val="000000" w:themeColor="text1"/>
                  <w:sz w:val="22"/>
                  <w:szCs w:val="22"/>
                </w:rPr>
                <w:t>____________________________________________________</w:t>
              </w:r>
            </w:sdtContent>
          </w:sdt>
        </w:p>
        <w:p w14:paraId="1B01AAFD" w14:textId="16C47BD0" w:rsidR="0019384D" w:rsidRPr="00E5550D" w:rsidRDefault="0019384D" w:rsidP="00366A07">
          <w:pPr>
            <w:spacing w:after="0"/>
            <w:rPr>
              <w:rFonts w:ascii="Avenir Medium" w:hAnsi="Avenir Medium"/>
              <w:color w:val="ED743A"/>
              <w:spacing w:val="5"/>
              <w:sz w:val="36"/>
              <w:szCs w:val="36"/>
            </w:rPr>
          </w:pPr>
          <w:r w:rsidRPr="00E5550D">
            <w:rPr>
              <w:rFonts w:ascii="Avenir Medium" w:hAnsi="Avenir Medium"/>
              <w:color w:val="ED743A"/>
              <w:spacing w:val="5"/>
              <w:sz w:val="36"/>
              <w:szCs w:val="36"/>
            </w:rPr>
            <w:t>O</w:t>
          </w:r>
          <w:r w:rsidR="00E5550D">
            <w:rPr>
              <w:rFonts w:ascii="Avenir Medium" w:hAnsi="Avenir Medium"/>
              <w:color w:val="ED743A"/>
              <w:spacing w:val="5"/>
              <w:sz w:val="36"/>
              <w:szCs w:val="36"/>
            </w:rPr>
            <w:t xml:space="preserve">utright Gift of Real Estate </w:t>
          </w:r>
        </w:p>
        <w:p w14:paraId="79F4B329" w14:textId="77777777" w:rsidR="00E5550D" w:rsidRPr="00E5550D" w:rsidRDefault="00E5550D" w:rsidP="00E5550D">
          <w:pPr>
            <w:rPr>
              <w:rFonts w:ascii="Avenir Medium" w:hAnsi="Avenir Medium"/>
              <w:color w:val="000000" w:themeColor="text1"/>
              <w:sz w:val="22"/>
              <w:szCs w:val="22"/>
            </w:rPr>
          </w:pPr>
          <w:r w:rsidRPr="00E5550D">
            <w:rPr>
              <w:rFonts w:ascii="Avenir Medium" w:hAnsi="Avenir Medium"/>
              <w:color w:val="000000" w:themeColor="text1"/>
              <w:sz w:val="22"/>
              <w:szCs w:val="22"/>
            </w:rPr>
            <w:t xml:space="preserve">Your client may give real estate directly a specific nonprofit, a Community Foundation, or your client’s fund at a Community Foundation, subject to that organization’s Gift </w:t>
          </w:r>
          <w:bookmarkStart w:id="0" w:name="_GoBack"/>
          <w:bookmarkEnd w:id="0"/>
          <w:r w:rsidRPr="00E5550D">
            <w:rPr>
              <w:rFonts w:ascii="Avenir Medium" w:hAnsi="Avenir Medium"/>
              <w:color w:val="000000" w:themeColor="text1"/>
              <w:sz w:val="22"/>
              <w:szCs w:val="22"/>
            </w:rPr>
            <w:t xml:space="preserve">Acceptance Policy. </w:t>
          </w:r>
        </w:p>
        <w:p w14:paraId="3CB104F0" w14:textId="77777777" w:rsidR="00E5550D" w:rsidRPr="00E5550D" w:rsidRDefault="00E5550D" w:rsidP="00E5550D">
          <w:pPr>
            <w:rPr>
              <w:rFonts w:ascii="Avenir Medium" w:hAnsi="Avenir Medium"/>
              <w:color w:val="000000" w:themeColor="text1"/>
              <w:sz w:val="22"/>
              <w:szCs w:val="22"/>
            </w:rPr>
          </w:pPr>
          <w:r w:rsidRPr="00E5550D">
            <w:rPr>
              <w:rFonts w:ascii="Avenir Medium" w:hAnsi="Avenir Medium"/>
              <w:color w:val="000000" w:themeColor="text1"/>
              <w:sz w:val="22"/>
              <w:szCs w:val="22"/>
            </w:rPr>
            <w:t>When your client makes an outright gift of real property held for more than a year, your client obtains an income tax charitable deduction equal to the property’s full fair market value. This deduction lets your client reduce the cost of making the gift and frees cash that otherwise would have been used to pay taxes. Your client also avoids tax on any long-term capital gain.</w:t>
          </w:r>
        </w:p>
        <w:p w14:paraId="6E1747F2" w14:textId="77777777" w:rsidR="00E5550D" w:rsidRPr="00E5550D" w:rsidRDefault="00E5550D" w:rsidP="00E5550D">
          <w:pPr>
            <w:rPr>
              <w:rFonts w:ascii="Avenir Medium" w:hAnsi="Avenir Medium"/>
              <w:color w:val="000000" w:themeColor="text1"/>
              <w:sz w:val="22"/>
              <w:szCs w:val="22"/>
            </w:rPr>
          </w:pPr>
          <w:r w:rsidRPr="00E5550D">
            <w:rPr>
              <w:rFonts w:ascii="Avenir Medium" w:hAnsi="Avenir Medium"/>
              <w:color w:val="000000" w:themeColor="text1"/>
              <w:sz w:val="22"/>
              <w:szCs w:val="22"/>
            </w:rPr>
            <w:t>If your client doesn’t already have a fund at a Community Foundation, the proceeds from the sale of the property can then be used to create the fund of your client’s choosing at the Community Foundation. This is an extremely tax efficient way to set up a Donor Advised Fund.</w:t>
          </w:r>
        </w:p>
        <w:p w14:paraId="38EDB084" w14:textId="77777777" w:rsidR="0019384D" w:rsidRPr="00366A07" w:rsidRDefault="0019384D" w:rsidP="0019384D">
          <w:pPr>
            <w:spacing w:after="0"/>
            <w:rPr>
              <w:rFonts w:ascii="Avenir Medium" w:hAnsi="Avenir Medium"/>
              <w:color w:val="000000" w:themeColor="text1"/>
              <w:sz w:val="22"/>
              <w:szCs w:val="22"/>
            </w:rPr>
          </w:pPr>
        </w:p>
        <w:p w14:paraId="11998D60" w14:textId="0E4FE8FD" w:rsidR="0019384D" w:rsidRPr="00E5550D" w:rsidRDefault="0019384D" w:rsidP="0019384D">
          <w:pPr>
            <w:spacing w:after="0"/>
            <w:rPr>
              <w:rFonts w:ascii="Avenir Medium" w:hAnsi="Avenir Medium"/>
              <w:color w:val="ED743A"/>
              <w:spacing w:val="5"/>
              <w:sz w:val="36"/>
              <w:szCs w:val="36"/>
            </w:rPr>
          </w:pPr>
          <w:r w:rsidRPr="00E5550D">
            <w:rPr>
              <w:rFonts w:ascii="Avenir Medium" w:hAnsi="Avenir Medium"/>
              <w:color w:val="ED743A"/>
              <w:spacing w:val="5"/>
              <w:sz w:val="36"/>
              <w:szCs w:val="36"/>
            </w:rPr>
            <w:t>C</w:t>
          </w:r>
          <w:r w:rsidR="00E5550D">
            <w:rPr>
              <w:rFonts w:ascii="Avenir Medium" w:hAnsi="Avenir Medium"/>
              <w:color w:val="ED743A"/>
              <w:spacing w:val="5"/>
              <w:sz w:val="36"/>
              <w:szCs w:val="36"/>
            </w:rPr>
            <w:t xml:space="preserve">haritable Remainder Trust Funded with Real Estate </w:t>
          </w:r>
        </w:p>
        <w:p w14:paraId="4AD1520C" w14:textId="77777777" w:rsidR="0019384D" w:rsidRPr="00366A07" w:rsidRDefault="0019384D" w:rsidP="0019384D">
          <w:pPr>
            <w:spacing w:after="0"/>
            <w:rPr>
              <w:rFonts w:ascii="Avenir Medium" w:hAnsi="Avenir Medium"/>
              <w:color w:val="000000" w:themeColor="text1"/>
              <w:sz w:val="22"/>
              <w:szCs w:val="22"/>
            </w:rPr>
          </w:pPr>
          <w:r w:rsidRPr="00366A07">
            <w:rPr>
              <w:rFonts w:ascii="Avenir Medium" w:hAnsi="Avenir Medium"/>
              <w:color w:val="000000" w:themeColor="text1"/>
              <w:sz w:val="22"/>
              <w:szCs w:val="22"/>
            </w:rPr>
            <w:t xml:space="preserve">When real estate is to be contributed, a net-income charitable remainder </w:t>
          </w:r>
          <w:proofErr w:type="spellStart"/>
          <w:r w:rsidRPr="00366A07">
            <w:rPr>
              <w:rFonts w:ascii="Avenir Medium" w:hAnsi="Avenir Medium"/>
              <w:color w:val="000000" w:themeColor="text1"/>
              <w:sz w:val="22"/>
              <w:szCs w:val="22"/>
            </w:rPr>
            <w:t>unitrust</w:t>
          </w:r>
          <w:proofErr w:type="spellEnd"/>
          <w:r w:rsidRPr="00366A07">
            <w:rPr>
              <w:rFonts w:ascii="Avenir Medium" w:hAnsi="Avenir Medium"/>
              <w:color w:val="000000" w:themeColor="text1"/>
              <w:sz w:val="22"/>
              <w:szCs w:val="22"/>
            </w:rPr>
            <w:t xml:space="preserve"> (NICRUT) or a net-income with make-up provision charitable remainder </w:t>
          </w:r>
          <w:proofErr w:type="spellStart"/>
          <w:r w:rsidRPr="00366A07">
            <w:rPr>
              <w:rFonts w:ascii="Avenir Medium" w:hAnsi="Avenir Medium"/>
              <w:color w:val="000000" w:themeColor="text1"/>
              <w:sz w:val="22"/>
              <w:szCs w:val="22"/>
            </w:rPr>
            <w:t>unitrust</w:t>
          </w:r>
          <w:proofErr w:type="spellEnd"/>
          <w:r w:rsidRPr="00366A07">
            <w:rPr>
              <w:rFonts w:ascii="Avenir Medium" w:hAnsi="Avenir Medium"/>
              <w:color w:val="000000" w:themeColor="text1"/>
              <w:sz w:val="22"/>
              <w:szCs w:val="22"/>
            </w:rPr>
            <w:t xml:space="preserve"> (NIMCRUT) with a “flip" provision is preferred. Until the property sells, payments to beneficiaries are limited to the trust’s net income, but beginning on January 1 following the year of the sale, the beneficiaries start receiving a stated percentage of trust assets. The trustee can invest the sales proceeds for total return because payments can be made from realized gain and capital as well as from interest and dividends. In the event that the donor wants to review and accept purchase offers, the donor could be the initial trustee and then resign in favor of an institutional trustee or a Community Foundation following the sale.</w:t>
          </w:r>
        </w:p>
        <w:p w14:paraId="5B457CB6" w14:textId="77777777" w:rsidR="0019384D" w:rsidRPr="00366A07" w:rsidRDefault="0019384D" w:rsidP="0019384D">
          <w:pPr>
            <w:spacing w:after="0"/>
            <w:rPr>
              <w:rFonts w:ascii="Avenir Medium" w:hAnsi="Avenir Medium"/>
              <w:color w:val="000000" w:themeColor="text1"/>
              <w:sz w:val="22"/>
              <w:szCs w:val="22"/>
            </w:rPr>
          </w:pPr>
        </w:p>
        <w:p w14:paraId="13CE309B" w14:textId="2ABD3928" w:rsidR="0019384D" w:rsidRDefault="0019384D" w:rsidP="0019384D">
          <w:pPr>
            <w:spacing w:after="0"/>
            <w:rPr>
              <w:rFonts w:ascii="Avenir Medium" w:hAnsi="Avenir Medium"/>
              <w:color w:val="ED743A"/>
              <w:spacing w:val="5"/>
              <w:sz w:val="36"/>
              <w:szCs w:val="36"/>
            </w:rPr>
          </w:pPr>
          <w:r w:rsidRPr="00E5550D">
            <w:rPr>
              <w:rFonts w:ascii="Avenir Medium" w:hAnsi="Avenir Medium"/>
              <w:color w:val="ED743A"/>
              <w:spacing w:val="5"/>
              <w:sz w:val="36"/>
              <w:szCs w:val="36"/>
            </w:rPr>
            <w:t>G</w:t>
          </w:r>
          <w:r w:rsidR="00E5550D">
            <w:rPr>
              <w:rFonts w:ascii="Avenir Medium" w:hAnsi="Avenir Medium"/>
              <w:color w:val="ED743A"/>
              <w:spacing w:val="5"/>
              <w:sz w:val="36"/>
              <w:szCs w:val="36"/>
            </w:rPr>
            <w:t xml:space="preserve">ift of a Remainder Interest in a Personal Residence </w:t>
          </w:r>
        </w:p>
        <w:p w14:paraId="223AC9B3" w14:textId="3C3C55CC" w:rsidR="006A67AA" w:rsidRPr="00E5550D" w:rsidRDefault="00E5550D" w:rsidP="00E5550D">
          <w:pPr>
            <w:rPr>
              <w:rFonts w:ascii="Avenir Medium" w:hAnsi="Avenir Medium"/>
              <w:color w:val="000000" w:themeColor="text1"/>
              <w:sz w:val="22"/>
              <w:szCs w:val="22"/>
            </w:rPr>
          </w:pPr>
          <w:r w:rsidRPr="00E5550D">
            <w:rPr>
              <w:rFonts w:ascii="Avenir Medium" w:hAnsi="Avenir Medium"/>
              <w:color w:val="000000" w:themeColor="text1"/>
              <w:sz w:val="22"/>
              <w:szCs w:val="22"/>
            </w:rPr>
            <w:t xml:space="preserve">The donor deeds the property (which must be either a personal residence or a farm) to a specific nonprofit, a Community Foundation, or your client’s fund at a Community Foundation, reserving the right to occupy and otherwise use the property for life or a term </w:t>
          </w:r>
          <w:r w:rsidRPr="00E5550D">
            <w:rPr>
              <w:rFonts w:ascii="Avenir Medium" w:hAnsi="Avenir Medium"/>
              <w:color w:val="000000" w:themeColor="text1"/>
              <w:sz w:val="22"/>
              <w:szCs w:val="22"/>
            </w:rPr>
            <w:lastRenderedPageBreak/>
            <w:t>of years. Even though initially the charity receives only a partial interest, it will eventually become the fee simple owner, so long as the Organization and the holder(s) of the life estate(s) do not decide to sell the property to a third party prior to the expiration of the life estate(s).</w:t>
          </w:r>
        </w:p>
      </w:sdtContent>
    </w:sdt>
    <w:p w14:paraId="09197B5B" w14:textId="77777777" w:rsidR="00B42A61" w:rsidRPr="00366A07" w:rsidRDefault="00B42A61" w:rsidP="00B42A61">
      <w:pPr>
        <w:spacing w:after="0"/>
        <w:rPr>
          <w:rFonts w:ascii="Avenir Medium" w:hAnsi="Avenir Medium"/>
          <w:color w:val="000000" w:themeColor="text1"/>
          <w:sz w:val="22"/>
          <w:szCs w:val="22"/>
        </w:rPr>
      </w:pPr>
      <w:r w:rsidRPr="00366A07">
        <w:rPr>
          <w:rFonts w:ascii="Avenir Medium" w:hAnsi="Avenir Medium"/>
          <w:color w:val="000000" w:themeColor="text1"/>
          <w:sz w:val="22"/>
          <w:szCs w:val="22"/>
        </w:rPr>
        <w:t xml:space="preserve">The term “personal residence” includes a principal residence, a vacation home, condominium, or stock in a cooperative apartment provided that, in all instances, the </w:t>
      </w:r>
      <w:proofErr w:type="gramStart"/>
      <w:r w:rsidRPr="00366A07">
        <w:rPr>
          <w:rFonts w:ascii="Avenir Medium" w:hAnsi="Avenir Medium"/>
          <w:color w:val="000000" w:themeColor="text1"/>
          <w:sz w:val="22"/>
          <w:szCs w:val="22"/>
        </w:rPr>
        <w:t>property is used by the donor as his or her personal residence</w:t>
      </w:r>
      <w:proofErr w:type="gramEnd"/>
      <w:r w:rsidRPr="00366A07">
        <w:rPr>
          <w:rFonts w:ascii="Avenir Medium" w:hAnsi="Avenir Medium"/>
          <w:color w:val="000000" w:themeColor="text1"/>
          <w:sz w:val="22"/>
          <w:szCs w:val="22"/>
        </w:rPr>
        <w:t>.</w:t>
      </w:r>
    </w:p>
    <w:p w14:paraId="7E666AD8" w14:textId="77777777" w:rsidR="00B42A61" w:rsidRPr="00366A07" w:rsidRDefault="00B42A61" w:rsidP="00A175A4">
      <w:pPr>
        <w:spacing w:after="0"/>
        <w:rPr>
          <w:rFonts w:ascii="Avenir Medium" w:hAnsi="Avenir Medium"/>
          <w:color w:val="000000" w:themeColor="text1"/>
          <w:sz w:val="22"/>
          <w:szCs w:val="22"/>
        </w:rPr>
      </w:pPr>
    </w:p>
    <w:p w14:paraId="44589C10" w14:textId="2C66CA2A" w:rsidR="00A175A4" w:rsidRPr="00366A07" w:rsidRDefault="00A175A4" w:rsidP="00A175A4">
      <w:pPr>
        <w:spacing w:after="0"/>
        <w:rPr>
          <w:rFonts w:ascii="Avenir Medium" w:hAnsi="Avenir Medium"/>
          <w:color w:val="000000" w:themeColor="text1"/>
          <w:sz w:val="22"/>
          <w:szCs w:val="22"/>
        </w:rPr>
      </w:pPr>
      <w:r w:rsidRPr="00366A07">
        <w:rPr>
          <w:rFonts w:ascii="Avenir Medium" w:hAnsi="Avenir Medium"/>
          <w:color w:val="000000" w:themeColor="text1"/>
          <w:sz w:val="22"/>
          <w:szCs w:val="22"/>
        </w:rPr>
        <w:t>In addition to the deed conveying the property, there should be a contract addressing responsibility for the actual and potential expenses of maintaining the property. The costs of real estate taxes, liability and casualty insurance, utilities, maintenance and minor repairs are customarily borne by the life tenant(s).</w:t>
      </w:r>
    </w:p>
    <w:p w14:paraId="1667E8F5" w14:textId="77777777" w:rsidR="001C2AC0" w:rsidRPr="00366A07" w:rsidRDefault="001C2AC0" w:rsidP="00A175A4">
      <w:pPr>
        <w:spacing w:after="0"/>
        <w:rPr>
          <w:rFonts w:ascii="Avenir Medium" w:hAnsi="Avenir Medium"/>
          <w:color w:val="000000" w:themeColor="text1"/>
          <w:sz w:val="22"/>
          <w:szCs w:val="22"/>
        </w:rPr>
      </w:pPr>
    </w:p>
    <w:p w14:paraId="2B60BBFF" w14:textId="77777777" w:rsidR="00A175A4" w:rsidRPr="00366A07" w:rsidRDefault="00A175A4" w:rsidP="00A175A4">
      <w:pPr>
        <w:spacing w:after="0"/>
        <w:rPr>
          <w:rFonts w:ascii="Avenir Medium" w:hAnsi="Avenir Medium"/>
          <w:color w:val="000000" w:themeColor="text1"/>
          <w:sz w:val="22"/>
          <w:szCs w:val="22"/>
        </w:rPr>
      </w:pPr>
      <w:r w:rsidRPr="00366A07">
        <w:rPr>
          <w:rFonts w:ascii="Avenir Medium" w:hAnsi="Avenir Medium"/>
          <w:color w:val="000000" w:themeColor="text1"/>
          <w:sz w:val="22"/>
          <w:szCs w:val="22"/>
        </w:rPr>
        <w:t>The donor is allowed income and gift tax charitable deductions for the value of the property minus the value of the life estate. The lower the charitable midterm federal rate (CMFR), the larger the charitable deduction will be.</w:t>
      </w:r>
    </w:p>
    <w:p w14:paraId="3918F9EF" w14:textId="77777777" w:rsidR="00A175A4" w:rsidRPr="00366A07" w:rsidRDefault="00A175A4" w:rsidP="006A67AA">
      <w:pPr>
        <w:spacing w:after="0"/>
        <w:ind w:left="-90"/>
        <w:rPr>
          <w:rFonts w:ascii="Avenir Medium" w:hAnsi="Avenir Medium"/>
          <w:color w:val="000000" w:themeColor="text1"/>
          <w:sz w:val="22"/>
          <w:szCs w:val="22"/>
        </w:rPr>
      </w:pPr>
    </w:p>
    <w:p w14:paraId="0E390691" w14:textId="77777777" w:rsidR="00A175A4" w:rsidRPr="00366A07" w:rsidRDefault="00A175A4" w:rsidP="00A175A4">
      <w:pPr>
        <w:spacing w:after="0"/>
        <w:rPr>
          <w:rFonts w:ascii="Avenir Medium" w:hAnsi="Avenir Medium"/>
          <w:color w:val="000000" w:themeColor="text1"/>
          <w:sz w:val="22"/>
          <w:szCs w:val="22"/>
        </w:rPr>
      </w:pPr>
      <w:r w:rsidRPr="00366A07">
        <w:rPr>
          <w:rFonts w:ascii="Avenir Medium" w:hAnsi="Avenir Medium"/>
          <w:color w:val="000000" w:themeColor="text1"/>
          <w:sz w:val="22"/>
          <w:szCs w:val="22"/>
        </w:rPr>
        <w:t>It is possible to leave only a fraction of the remainder interest to charity. (See Rev. Rul. 87-37.) A person who wants to divide the value of a home between a charity and children might choose to do this.</w:t>
      </w:r>
    </w:p>
    <w:p w14:paraId="3CBD99C1" w14:textId="77777777" w:rsidR="00A175A4" w:rsidRPr="00366A07" w:rsidRDefault="00A175A4" w:rsidP="00A175A4">
      <w:pPr>
        <w:spacing w:after="0"/>
        <w:rPr>
          <w:rFonts w:ascii="Avenir Medium" w:hAnsi="Avenir Medium"/>
          <w:color w:val="000000" w:themeColor="text1"/>
          <w:sz w:val="22"/>
          <w:szCs w:val="22"/>
        </w:rPr>
      </w:pPr>
    </w:p>
    <w:p w14:paraId="50C059FA" w14:textId="295CF9AD" w:rsidR="00A175A4" w:rsidRPr="00E5550D" w:rsidRDefault="00A175A4" w:rsidP="00A175A4">
      <w:pPr>
        <w:spacing w:after="0"/>
        <w:rPr>
          <w:rFonts w:ascii="Avenir Medium" w:hAnsi="Avenir Medium"/>
          <w:color w:val="ED743A"/>
          <w:spacing w:val="5"/>
          <w:sz w:val="36"/>
          <w:szCs w:val="36"/>
        </w:rPr>
      </w:pPr>
      <w:r w:rsidRPr="00E5550D">
        <w:rPr>
          <w:rFonts w:ascii="Avenir Medium" w:hAnsi="Avenir Medium"/>
          <w:color w:val="ED743A"/>
          <w:spacing w:val="5"/>
          <w:sz w:val="36"/>
          <w:szCs w:val="36"/>
        </w:rPr>
        <w:t>B</w:t>
      </w:r>
      <w:r w:rsidR="00E5550D">
        <w:rPr>
          <w:rFonts w:ascii="Avenir Medium" w:hAnsi="Avenir Medium"/>
          <w:color w:val="ED743A"/>
          <w:spacing w:val="5"/>
          <w:sz w:val="36"/>
          <w:szCs w:val="36"/>
        </w:rPr>
        <w:t xml:space="preserve">argain Sale of Real Estate </w:t>
      </w:r>
    </w:p>
    <w:p w14:paraId="7E48B5FD" w14:textId="77777777" w:rsidR="00A175A4" w:rsidRPr="00366A07" w:rsidRDefault="00A175A4" w:rsidP="001C2AC0">
      <w:pPr>
        <w:spacing w:after="0"/>
        <w:rPr>
          <w:rFonts w:ascii="Avenir Medium" w:hAnsi="Avenir Medium"/>
          <w:color w:val="000000" w:themeColor="text1"/>
          <w:sz w:val="22"/>
          <w:szCs w:val="22"/>
        </w:rPr>
      </w:pPr>
      <w:r w:rsidRPr="00366A07">
        <w:rPr>
          <w:rFonts w:ascii="Avenir Medium" w:hAnsi="Avenir Medium"/>
          <w:color w:val="000000" w:themeColor="text1"/>
          <w:sz w:val="22"/>
          <w:szCs w:val="22"/>
        </w:rPr>
        <w:t>A bargain sale is a transaction in which a donor knowingly sells property to a charity for less than its appraised fair market value with the intention of making a charitable gift.</w:t>
      </w:r>
      <w:r w:rsidR="00A6345C" w:rsidRPr="00366A07">
        <w:rPr>
          <w:rFonts w:ascii="Avenir Medium" w:hAnsi="Avenir Medium"/>
          <w:color w:val="000000" w:themeColor="text1"/>
          <w:sz w:val="22"/>
          <w:szCs w:val="22"/>
        </w:rPr>
        <w:t xml:space="preserve"> </w:t>
      </w:r>
      <w:r w:rsidRPr="00366A07">
        <w:rPr>
          <w:rFonts w:ascii="Avenir Medium" w:hAnsi="Avenir Medium"/>
          <w:color w:val="000000" w:themeColor="text1"/>
          <w:sz w:val="22"/>
          <w:szCs w:val="22"/>
        </w:rPr>
        <w:t>Assuming applicable requirements are met, the donor is allowed an income tax deduction for the difference between the appraised value and the bargain sale price. The donor is taxed on the gain attributable to the sale portion and avoids tax on</w:t>
      </w:r>
      <w:r w:rsidR="001C2AC0" w:rsidRPr="00366A07">
        <w:rPr>
          <w:rFonts w:ascii="Avenir Medium" w:hAnsi="Avenir Medium"/>
          <w:color w:val="000000" w:themeColor="text1"/>
          <w:sz w:val="22"/>
          <w:szCs w:val="22"/>
        </w:rPr>
        <w:t xml:space="preserve"> </w:t>
      </w:r>
      <w:r w:rsidRPr="00366A07">
        <w:rPr>
          <w:rFonts w:ascii="Avenir Medium" w:hAnsi="Avenir Medium"/>
          <w:color w:val="000000" w:themeColor="text1"/>
          <w:sz w:val="22"/>
          <w:szCs w:val="22"/>
        </w:rPr>
        <w:t>the gain attributable to the gift value.</w:t>
      </w:r>
    </w:p>
    <w:p w14:paraId="6FD78FE0" w14:textId="77777777" w:rsidR="00E5550D" w:rsidRDefault="00E5550D" w:rsidP="006A67AA">
      <w:pPr>
        <w:spacing w:after="0"/>
        <w:ind w:left="-90"/>
        <w:rPr>
          <w:rFonts w:ascii="Avenir Medium" w:hAnsi="Avenir Medium"/>
          <w:iCs/>
          <w:smallCaps/>
          <w:color w:val="242852" w:themeColor="text2"/>
          <w:spacing w:val="5"/>
          <w:sz w:val="22"/>
          <w:szCs w:val="22"/>
        </w:rPr>
      </w:pPr>
    </w:p>
    <w:p w14:paraId="07A89312" w14:textId="77777777" w:rsidR="00E5550D" w:rsidRPr="00E5550D" w:rsidRDefault="00E5550D" w:rsidP="006A67AA">
      <w:pPr>
        <w:spacing w:after="0"/>
        <w:ind w:left="-90"/>
        <w:rPr>
          <w:rFonts w:ascii="Avenir Medium" w:hAnsi="Avenir Medium"/>
          <w:color w:val="000000" w:themeColor="text1"/>
          <w:sz w:val="22"/>
          <w:szCs w:val="22"/>
        </w:rPr>
      </w:pPr>
    </w:p>
    <w:p w14:paraId="7AE1F342" w14:textId="2AFE890B" w:rsidR="006A67AA" w:rsidRPr="00E5550D" w:rsidRDefault="00E5550D" w:rsidP="00E5550D">
      <w:pPr>
        <w:rPr>
          <w:rFonts w:ascii="Avenir Medium" w:hAnsi="Avenir Medium"/>
          <w:color w:val="000000" w:themeColor="text1"/>
          <w:sz w:val="22"/>
          <w:szCs w:val="22"/>
        </w:rPr>
      </w:pPr>
      <w:r w:rsidRPr="00E5550D">
        <w:rPr>
          <w:rFonts w:ascii="Avenir Medium" w:hAnsi="Avenir Medium"/>
          <w:color w:val="000000" w:themeColor="text1"/>
          <w:sz w:val="22"/>
          <w:szCs w:val="22"/>
        </w:rPr>
        <w:t xml:space="preserve">*Please note that the information contained herein is not intended to provide specific legal or financial advice and should not be relied upon as a substitute for such professional advice. Leave 10 Kitsap encourages you to seek professional legal, estate planning and financial advice before deciding on a course of action. </w:t>
      </w:r>
    </w:p>
    <w:sectPr w:rsidR="006A67AA" w:rsidRPr="00E5550D" w:rsidSect="00227ABD">
      <w:headerReference w:type="default" r:id="rId10"/>
      <w:footerReference w:type="default" r:id="rId11"/>
      <w:pgSz w:w="12240" w:h="15840"/>
      <w:pgMar w:top="1440" w:right="1584" w:bottom="1440" w:left="1584" w:header="720" w:footer="432"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4D7C6" w14:textId="77777777" w:rsidR="007A11AB" w:rsidRDefault="007A11AB">
      <w:pPr>
        <w:spacing w:after="0" w:line="240" w:lineRule="auto"/>
      </w:pPr>
      <w:r>
        <w:separator/>
      </w:r>
    </w:p>
  </w:endnote>
  <w:endnote w:type="continuationSeparator" w:id="0">
    <w:p w14:paraId="65A65604" w14:textId="77777777" w:rsidR="007A11AB" w:rsidRDefault="007A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venir Medium">
    <w:panose1 w:val="020006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FDC8" w14:textId="0D1C1B8E" w:rsidR="0069397B" w:rsidRDefault="0069397B">
    <w:pPr>
      <w:pStyle w:val="Footer"/>
    </w:pPr>
    <w:r>
      <w:ptab w:relativeTo="margin" w:alignment="right" w:leader="none"/>
    </w:r>
    <w:r>
      <w:t xml:space="preserve"> </w:t>
    </w:r>
  </w:p>
  <w:p w14:paraId="3989C2B0" w14:textId="77777777" w:rsidR="0069397B" w:rsidRDefault="0069397B"/>
  <w:p w14:paraId="74FEBC64" w14:textId="6B85AD05" w:rsidR="0069397B" w:rsidRDefault="0069397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30434" w14:textId="77777777" w:rsidR="007A11AB" w:rsidRDefault="007A11AB">
      <w:pPr>
        <w:spacing w:after="0" w:line="240" w:lineRule="auto"/>
      </w:pPr>
      <w:r>
        <w:separator/>
      </w:r>
    </w:p>
  </w:footnote>
  <w:footnote w:type="continuationSeparator" w:id="0">
    <w:p w14:paraId="4F0103EA" w14:textId="77777777" w:rsidR="007A11AB" w:rsidRDefault="007A11A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B83A7" w14:textId="49A0ADDE" w:rsidR="0069397B" w:rsidRPr="00D13F87" w:rsidRDefault="0069397B" w:rsidP="00D13F87">
    <w:pPr>
      <w:pStyle w:val="Header"/>
      <w:rPr>
        <w:color w:val="000000" w:themeColor="text1"/>
      </w:rPr>
    </w:pPr>
  </w:p>
  <w:p w14:paraId="6E66722F" w14:textId="77777777" w:rsidR="0069397B" w:rsidRDefault="0069397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3C3"/>
    <w:multiLevelType w:val="hybridMultilevel"/>
    <w:tmpl w:val="2F86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82105"/>
    <w:multiLevelType w:val="hybridMultilevel"/>
    <w:tmpl w:val="0E80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8469B"/>
    <w:multiLevelType w:val="hybridMultilevel"/>
    <w:tmpl w:val="BB9CF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4A66AC" w:themeColor="accent1"/>
        <w:sz w:val="16"/>
      </w:rPr>
    </w:lvl>
    <w:lvl w:ilvl="1">
      <w:start w:val="1"/>
      <w:numFmt w:val="bullet"/>
      <w:lvlText w:val=""/>
      <w:lvlJc w:val="left"/>
      <w:pPr>
        <w:ind w:left="490" w:hanging="245"/>
      </w:pPr>
      <w:rPr>
        <w:rFonts w:ascii="Symbol" w:hAnsi="Symbol" w:hint="default"/>
        <w:color w:val="4A66AC" w:themeColor="accent1"/>
        <w:sz w:val="18"/>
      </w:rPr>
    </w:lvl>
    <w:lvl w:ilvl="2">
      <w:start w:val="1"/>
      <w:numFmt w:val="bullet"/>
      <w:lvlText w:val=""/>
      <w:lvlJc w:val="left"/>
      <w:pPr>
        <w:ind w:left="735" w:hanging="245"/>
      </w:pPr>
      <w:rPr>
        <w:rFonts w:ascii="Symbol" w:hAnsi="Symbol" w:hint="default"/>
        <w:color w:val="4A66AC" w:themeColor="accent1"/>
        <w:sz w:val="18"/>
      </w:rPr>
    </w:lvl>
    <w:lvl w:ilvl="3">
      <w:start w:val="1"/>
      <w:numFmt w:val="bullet"/>
      <w:lvlText w:val=""/>
      <w:lvlJc w:val="left"/>
      <w:pPr>
        <w:ind w:left="980" w:hanging="245"/>
      </w:pPr>
      <w:rPr>
        <w:rFonts w:ascii="Symbol" w:hAnsi="Symbol" w:hint="default"/>
        <w:color w:val="374C80" w:themeColor="accent1" w:themeShade="BF"/>
        <w:sz w:val="12"/>
      </w:rPr>
    </w:lvl>
    <w:lvl w:ilvl="4">
      <w:start w:val="1"/>
      <w:numFmt w:val="bullet"/>
      <w:lvlText w:val=""/>
      <w:lvlJc w:val="left"/>
      <w:pPr>
        <w:ind w:left="1225" w:hanging="245"/>
      </w:pPr>
      <w:rPr>
        <w:rFonts w:ascii="Symbol" w:hAnsi="Symbol" w:hint="default"/>
        <w:color w:val="374C80" w:themeColor="accent1" w:themeShade="BF"/>
        <w:sz w:val="12"/>
      </w:rPr>
    </w:lvl>
    <w:lvl w:ilvl="5">
      <w:start w:val="1"/>
      <w:numFmt w:val="bullet"/>
      <w:lvlText w:val=""/>
      <w:lvlJc w:val="left"/>
      <w:pPr>
        <w:ind w:left="1470" w:hanging="245"/>
      </w:pPr>
      <w:rPr>
        <w:rFonts w:ascii="Symbol" w:hAnsi="Symbol" w:hint="default"/>
        <w:color w:val="9D90A0" w:themeColor="accent6"/>
        <w:sz w:val="12"/>
      </w:rPr>
    </w:lvl>
    <w:lvl w:ilvl="6">
      <w:start w:val="1"/>
      <w:numFmt w:val="bullet"/>
      <w:lvlText w:val=""/>
      <w:lvlJc w:val="left"/>
      <w:pPr>
        <w:ind w:left="1715" w:hanging="245"/>
      </w:pPr>
      <w:rPr>
        <w:rFonts w:ascii="Symbol" w:hAnsi="Symbol" w:hint="default"/>
        <w:color w:val="9D90A0" w:themeColor="accent6"/>
        <w:sz w:val="12"/>
      </w:rPr>
    </w:lvl>
    <w:lvl w:ilvl="7">
      <w:start w:val="1"/>
      <w:numFmt w:val="bullet"/>
      <w:lvlText w:val=""/>
      <w:lvlJc w:val="left"/>
      <w:pPr>
        <w:ind w:left="1960" w:hanging="245"/>
      </w:pPr>
      <w:rPr>
        <w:rFonts w:ascii="Symbol" w:hAnsi="Symbol" w:hint="default"/>
        <w:color w:val="9D90A0" w:themeColor="accent6"/>
        <w:sz w:val="12"/>
      </w:rPr>
    </w:lvl>
    <w:lvl w:ilvl="8">
      <w:start w:val="1"/>
      <w:numFmt w:val="bullet"/>
      <w:lvlText w:val=""/>
      <w:lvlJc w:val="left"/>
      <w:pPr>
        <w:ind w:left="2205" w:hanging="245"/>
      </w:pPr>
      <w:rPr>
        <w:rFonts w:ascii="Symbol" w:hAnsi="Symbol" w:hint="default"/>
        <w:color w:val="9D90A0" w:themeColor="accent6"/>
        <w:sz w:val="12"/>
      </w:rPr>
    </w:lvl>
  </w:abstractNum>
  <w:abstractNum w:abstractNumId="4">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242852" w:themeColor="text2"/>
      </w:rPr>
    </w:lvl>
    <w:lvl w:ilvl="2">
      <w:start w:val="1"/>
      <w:numFmt w:val="lowerRoman"/>
      <w:lvlText w:val="%3)"/>
      <w:lvlJc w:val="left"/>
      <w:pPr>
        <w:ind w:left="864" w:hanging="288"/>
      </w:pPr>
      <w:rPr>
        <w:rFonts w:hint="default"/>
        <w:color w:val="242852" w:themeColor="text2"/>
      </w:rPr>
    </w:lvl>
    <w:lvl w:ilvl="3">
      <w:start w:val="1"/>
      <w:numFmt w:val="decimal"/>
      <w:lvlText w:val="(%4)"/>
      <w:lvlJc w:val="left"/>
      <w:pPr>
        <w:ind w:left="1152" w:hanging="288"/>
      </w:pPr>
      <w:rPr>
        <w:rFonts w:hint="default"/>
        <w:color w:val="242852" w:themeColor="text2"/>
      </w:rPr>
    </w:lvl>
    <w:lvl w:ilvl="4">
      <w:start w:val="1"/>
      <w:numFmt w:val="lowerLetter"/>
      <w:lvlText w:val="(%5)"/>
      <w:lvlJc w:val="left"/>
      <w:pPr>
        <w:ind w:left="1440" w:hanging="288"/>
      </w:pPr>
      <w:rPr>
        <w:rFonts w:hint="default"/>
        <w:color w:val="242852" w:themeColor="text2"/>
      </w:rPr>
    </w:lvl>
    <w:lvl w:ilvl="5">
      <w:start w:val="1"/>
      <w:numFmt w:val="lowerRoman"/>
      <w:lvlText w:val="(%6)"/>
      <w:lvlJc w:val="left"/>
      <w:pPr>
        <w:ind w:left="1728" w:hanging="288"/>
      </w:pPr>
      <w:rPr>
        <w:rFonts w:hint="default"/>
        <w:color w:val="242852" w:themeColor="text2"/>
      </w:rPr>
    </w:lvl>
    <w:lvl w:ilvl="6">
      <w:start w:val="1"/>
      <w:numFmt w:val="decimal"/>
      <w:lvlText w:val="%7."/>
      <w:lvlJc w:val="left"/>
      <w:pPr>
        <w:ind w:left="2016" w:hanging="288"/>
      </w:pPr>
      <w:rPr>
        <w:rFonts w:hint="default"/>
        <w:color w:val="242852" w:themeColor="text2"/>
      </w:rPr>
    </w:lvl>
    <w:lvl w:ilvl="7">
      <w:start w:val="1"/>
      <w:numFmt w:val="lowerLetter"/>
      <w:lvlText w:val="%8."/>
      <w:lvlJc w:val="left"/>
      <w:pPr>
        <w:ind w:left="2304" w:hanging="288"/>
      </w:pPr>
      <w:rPr>
        <w:rFonts w:hint="default"/>
        <w:color w:val="242852" w:themeColor="text2"/>
      </w:rPr>
    </w:lvl>
    <w:lvl w:ilvl="8">
      <w:start w:val="1"/>
      <w:numFmt w:val="lowerRoman"/>
      <w:lvlText w:val="%9."/>
      <w:lvlJc w:val="left"/>
      <w:pPr>
        <w:ind w:left="2592" w:hanging="288"/>
      </w:pPr>
      <w:rPr>
        <w:rFonts w:hint="default"/>
        <w:color w:val="242852" w:themeColor="text2"/>
      </w:rPr>
    </w:lvl>
  </w:abstractNum>
  <w:abstractNum w:abstractNumId="5">
    <w:nsid w:val="229F669B"/>
    <w:multiLevelType w:val="hybridMultilevel"/>
    <w:tmpl w:val="101425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C47332"/>
    <w:multiLevelType w:val="hybridMultilevel"/>
    <w:tmpl w:val="506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9F2832"/>
    <w:multiLevelType w:val="hybridMultilevel"/>
    <w:tmpl w:val="8794D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7465F"/>
    <w:multiLevelType w:val="hybridMultilevel"/>
    <w:tmpl w:val="A0B01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A7D17"/>
    <w:multiLevelType w:val="hybridMultilevel"/>
    <w:tmpl w:val="5E80B4EE"/>
    <w:lvl w:ilvl="0" w:tplc="BF7C7392">
      <w:numFmt w:val="bullet"/>
      <w:lvlText w:val=""/>
      <w:lvlJc w:val="left"/>
      <w:pPr>
        <w:ind w:left="1947" w:hanging="345"/>
      </w:pPr>
      <w:rPr>
        <w:rFonts w:ascii="Wingdings" w:eastAsia="Wingdings" w:hAnsi="Wingdings" w:cs="Wingdings" w:hint="default"/>
        <w:color w:val="485157"/>
        <w:w w:val="100"/>
        <w:sz w:val="22"/>
        <w:szCs w:val="22"/>
      </w:rPr>
    </w:lvl>
    <w:lvl w:ilvl="1" w:tplc="46EC19B8">
      <w:numFmt w:val="bullet"/>
      <w:lvlText w:val="•"/>
      <w:lvlJc w:val="left"/>
      <w:pPr>
        <w:ind w:left="2944" w:hanging="345"/>
      </w:pPr>
      <w:rPr>
        <w:rFonts w:hint="default"/>
      </w:rPr>
    </w:lvl>
    <w:lvl w:ilvl="2" w:tplc="2318BAB8">
      <w:numFmt w:val="bullet"/>
      <w:lvlText w:val="•"/>
      <w:lvlJc w:val="left"/>
      <w:pPr>
        <w:ind w:left="3948" w:hanging="345"/>
      </w:pPr>
      <w:rPr>
        <w:rFonts w:hint="default"/>
      </w:rPr>
    </w:lvl>
    <w:lvl w:ilvl="3" w:tplc="BBDA40F4">
      <w:numFmt w:val="bullet"/>
      <w:lvlText w:val="•"/>
      <w:lvlJc w:val="left"/>
      <w:pPr>
        <w:ind w:left="4952" w:hanging="345"/>
      </w:pPr>
      <w:rPr>
        <w:rFonts w:hint="default"/>
      </w:rPr>
    </w:lvl>
    <w:lvl w:ilvl="4" w:tplc="636236F2">
      <w:numFmt w:val="bullet"/>
      <w:lvlText w:val="•"/>
      <w:lvlJc w:val="left"/>
      <w:pPr>
        <w:ind w:left="5956" w:hanging="345"/>
      </w:pPr>
      <w:rPr>
        <w:rFonts w:hint="default"/>
      </w:rPr>
    </w:lvl>
    <w:lvl w:ilvl="5" w:tplc="59A2F1C6">
      <w:numFmt w:val="bullet"/>
      <w:lvlText w:val="•"/>
      <w:lvlJc w:val="left"/>
      <w:pPr>
        <w:ind w:left="6960" w:hanging="345"/>
      </w:pPr>
      <w:rPr>
        <w:rFonts w:hint="default"/>
      </w:rPr>
    </w:lvl>
    <w:lvl w:ilvl="6" w:tplc="C64621C0">
      <w:numFmt w:val="bullet"/>
      <w:lvlText w:val="•"/>
      <w:lvlJc w:val="left"/>
      <w:pPr>
        <w:ind w:left="7964" w:hanging="345"/>
      </w:pPr>
      <w:rPr>
        <w:rFonts w:hint="default"/>
      </w:rPr>
    </w:lvl>
    <w:lvl w:ilvl="7" w:tplc="0576F2E0">
      <w:numFmt w:val="bullet"/>
      <w:lvlText w:val="•"/>
      <w:lvlJc w:val="left"/>
      <w:pPr>
        <w:ind w:left="8968" w:hanging="345"/>
      </w:pPr>
      <w:rPr>
        <w:rFonts w:hint="default"/>
      </w:rPr>
    </w:lvl>
    <w:lvl w:ilvl="8" w:tplc="2D16EC2C">
      <w:numFmt w:val="bullet"/>
      <w:lvlText w:val="•"/>
      <w:lvlJc w:val="left"/>
      <w:pPr>
        <w:ind w:left="9972" w:hanging="345"/>
      </w:pPr>
      <w:rPr>
        <w:rFonts w:hint="default"/>
      </w:rPr>
    </w:lvl>
  </w:abstractNum>
  <w:abstractNum w:abstractNumId="10">
    <w:nsid w:val="53356398"/>
    <w:multiLevelType w:val="hybridMultilevel"/>
    <w:tmpl w:val="171A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B678BD"/>
    <w:multiLevelType w:val="hybridMultilevel"/>
    <w:tmpl w:val="56383BDA"/>
    <w:lvl w:ilvl="0" w:tplc="BF7C7392">
      <w:numFmt w:val="bullet"/>
      <w:lvlText w:val=""/>
      <w:lvlJc w:val="left"/>
      <w:pPr>
        <w:ind w:left="720" w:hanging="360"/>
      </w:pPr>
      <w:rPr>
        <w:rFonts w:ascii="Wingdings" w:eastAsia="Wingdings" w:hAnsi="Wingdings" w:cs="Wingdings" w:hint="default"/>
        <w:color w:val="485157"/>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801B43"/>
    <w:multiLevelType w:val="hybridMultilevel"/>
    <w:tmpl w:val="3E62A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07592A"/>
    <w:multiLevelType w:val="hybridMultilevel"/>
    <w:tmpl w:val="D974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B97016"/>
    <w:multiLevelType w:val="hybridMultilevel"/>
    <w:tmpl w:val="BB56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3"/>
  </w:num>
  <w:num w:numId="4">
    <w:abstractNumId w:val="4"/>
  </w:num>
  <w:num w:numId="5">
    <w:abstractNumId w:val="3"/>
  </w:num>
  <w:num w:numId="6">
    <w:abstractNumId w:val="4"/>
  </w:num>
  <w:num w:numId="7">
    <w:abstractNumId w:val="7"/>
  </w:num>
  <w:num w:numId="8">
    <w:abstractNumId w:val="0"/>
  </w:num>
  <w:num w:numId="9">
    <w:abstractNumId w:val="2"/>
  </w:num>
  <w:num w:numId="10">
    <w:abstractNumId w:val="8"/>
  </w:num>
  <w:num w:numId="11">
    <w:abstractNumId w:val="14"/>
  </w:num>
  <w:num w:numId="12">
    <w:abstractNumId w:val="12"/>
  </w:num>
  <w:num w:numId="13">
    <w:abstractNumId w:val="5"/>
  </w:num>
  <w:num w:numId="14">
    <w:abstractNumId w:val="1"/>
  </w:num>
  <w:num w:numId="15">
    <w:abstractNumId w:val="9"/>
  </w:num>
  <w:num w:numId="16">
    <w:abstractNumId w:val="13"/>
  </w:num>
  <w:num w:numId="17">
    <w:abstractNumId w:val="11"/>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EE1"/>
    <w:rsid w:val="00024206"/>
    <w:rsid w:val="00027C83"/>
    <w:rsid w:val="000561F5"/>
    <w:rsid w:val="00061B3B"/>
    <w:rsid w:val="0009398A"/>
    <w:rsid w:val="000A45FB"/>
    <w:rsid w:val="000D3929"/>
    <w:rsid w:val="000E3507"/>
    <w:rsid w:val="001014BD"/>
    <w:rsid w:val="00114983"/>
    <w:rsid w:val="00137549"/>
    <w:rsid w:val="00156049"/>
    <w:rsid w:val="00171EE1"/>
    <w:rsid w:val="00180D59"/>
    <w:rsid w:val="001817ED"/>
    <w:rsid w:val="00182B6C"/>
    <w:rsid w:val="0019384D"/>
    <w:rsid w:val="00196BDB"/>
    <w:rsid w:val="001A587E"/>
    <w:rsid w:val="001A5F54"/>
    <w:rsid w:val="001C2AC0"/>
    <w:rsid w:val="001D249A"/>
    <w:rsid w:val="001D2EE7"/>
    <w:rsid w:val="001E005D"/>
    <w:rsid w:val="001E3319"/>
    <w:rsid w:val="002057D4"/>
    <w:rsid w:val="00227ABD"/>
    <w:rsid w:val="002368EA"/>
    <w:rsid w:val="002437FB"/>
    <w:rsid w:val="002749FE"/>
    <w:rsid w:val="002934B5"/>
    <w:rsid w:val="002B0105"/>
    <w:rsid w:val="002B4D6E"/>
    <w:rsid w:val="002B4DC6"/>
    <w:rsid w:val="002D1895"/>
    <w:rsid w:val="00304EA3"/>
    <w:rsid w:val="003300CD"/>
    <w:rsid w:val="003427F3"/>
    <w:rsid w:val="00366A07"/>
    <w:rsid w:val="00386EBB"/>
    <w:rsid w:val="003B65DA"/>
    <w:rsid w:val="003C71AE"/>
    <w:rsid w:val="00410BFC"/>
    <w:rsid w:val="00427B19"/>
    <w:rsid w:val="00431C74"/>
    <w:rsid w:val="00447E34"/>
    <w:rsid w:val="00453E07"/>
    <w:rsid w:val="00484E4D"/>
    <w:rsid w:val="004858B1"/>
    <w:rsid w:val="004D67F5"/>
    <w:rsid w:val="00515371"/>
    <w:rsid w:val="005179B0"/>
    <w:rsid w:val="0052700B"/>
    <w:rsid w:val="00555519"/>
    <w:rsid w:val="00567EF1"/>
    <w:rsid w:val="00582EE7"/>
    <w:rsid w:val="00592033"/>
    <w:rsid w:val="005C152B"/>
    <w:rsid w:val="005D5F70"/>
    <w:rsid w:val="005E53C1"/>
    <w:rsid w:val="005E7878"/>
    <w:rsid w:val="00631ACB"/>
    <w:rsid w:val="006372C2"/>
    <w:rsid w:val="006610E4"/>
    <w:rsid w:val="0069397B"/>
    <w:rsid w:val="00694BB3"/>
    <w:rsid w:val="006A67AA"/>
    <w:rsid w:val="006B49CD"/>
    <w:rsid w:val="006C5141"/>
    <w:rsid w:val="006E2951"/>
    <w:rsid w:val="006E5776"/>
    <w:rsid w:val="00703E3A"/>
    <w:rsid w:val="00717F37"/>
    <w:rsid w:val="0078262D"/>
    <w:rsid w:val="00791032"/>
    <w:rsid w:val="007A11AB"/>
    <w:rsid w:val="007A4D55"/>
    <w:rsid w:val="00823CB0"/>
    <w:rsid w:val="00830642"/>
    <w:rsid w:val="00837401"/>
    <w:rsid w:val="008442D5"/>
    <w:rsid w:val="0086529A"/>
    <w:rsid w:val="00867DC9"/>
    <w:rsid w:val="008A5F0B"/>
    <w:rsid w:val="008C7BFB"/>
    <w:rsid w:val="008D1690"/>
    <w:rsid w:val="00904189"/>
    <w:rsid w:val="0091232A"/>
    <w:rsid w:val="00917006"/>
    <w:rsid w:val="00926AE9"/>
    <w:rsid w:val="00936E66"/>
    <w:rsid w:val="00944704"/>
    <w:rsid w:val="00962830"/>
    <w:rsid w:val="0097461A"/>
    <w:rsid w:val="00987D99"/>
    <w:rsid w:val="009A578F"/>
    <w:rsid w:val="009B6747"/>
    <w:rsid w:val="00A175A4"/>
    <w:rsid w:val="00A30791"/>
    <w:rsid w:val="00A6345C"/>
    <w:rsid w:val="00A957D7"/>
    <w:rsid w:val="00A97F0A"/>
    <w:rsid w:val="00AC48C4"/>
    <w:rsid w:val="00AE3FA1"/>
    <w:rsid w:val="00B04EDB"/>
    <w:rsid w:val="00B1621F"/>
    <w:rsid w:val="00B16FD1"/>
    <w:rsid w:val="00B41528"/>
    <w:rsid w:val="00B41F93"/>
    <w:rsid w:val="00B42A61"/>
    <w:rsid w:val="00B7534C"/>
    <w:rsid w:val="00BA68E9"/>
    <w:rsid w:val="00BC55D5"/>
    <w:rsid w:val="00BC69E0"/>
    <w:rsid w:val="00BD05AD"/>
    <w:rsid w:val="00C00EA9"/>
    <w:rsid w:val="00C01C85"/>
    <w:rsid w:val="00C108A0"/>
    <w:rsid w:val="00C13FCF"/>
    <w:rsid w:val="00C24216"/>
    <w:rsid w:val="00C446DC"/>
    <w:rsid w:val="00C61BA9"/>
    <w:rsid w:val="00C668E0"/>
    <w:rsid w:val="00C8045E"/>
    <w:rsid w:val="00C834BA"/>
    <w:rsid w:val="00C86210"/>
    <w:rsid w:val="00C93347"/>
    <w:rsid w:val="00CD2562"/>
    <w:rsid w:val="00CE0568"/>
    <w:rsid w:val="00CE73EC"/>
    <w:rsid w:val="00CF6687"/>
    <w:rsid w:val="00D0368D"/>
    <w:rsid w:val="00D109FD"/>
    <w:rsid w:val="00D11A64"/>
    <w:rsid w:val="00D13F87"/>
    <w:rsid w:val="00D1539D"/>
    <w:rsid w:val="00D2315A"/>
    <w:rsid w:val="00D34565"/>
    <w:rsid w:val="00DA09F6"/>
    <w:rsid w:val="00DC259E"/>
    <w:rsid w:val="00DE52BF"/>
    <w:rsid w:val="00DF538A"/>
    <w:rsid w:val="00E002BF"/>
    <w:rsid w:val="00E5550D"/>
    <w:rsid w:val="00E7461D"/>
    <w:rsid w:val="00E804BD"/>
    <w:rsid w:val="00E91F8D"/>
    <w:rsid w:val="00ED2F3A"/>
    <w:rsid w:val="00F22465"/>
    <w:rsid w:val="00F41174"/>
    <w:rsid w:val="00F73053"/>
    <w:rsid w:val="00FB1ADD"/>
    <w:rsid w:val="00FC04A9"/>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F4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C9"/>
    <w:rPr>
      <w:rFonts w:cstheme="minorHAnsi"/>
      <w:color w:val="1B1D3D" w:themeColor="text2" w:themeShade="BF"/>
      <w:sz w:val="20"/>
      <w:szCs w:val="20"/>
      <w:lang w:eastAsia="ja-JP"/>
    </w:rPr>
  </w:style>
  <w:style w:type="paragraph" w:styleId="Heading1">
    <w:name w:val="heading 1"/>
    <w:basedOn w:val="Normal"/>
    <w:next w:val="Normal"/>
    <w:link w:val="Heading1Char"/>
    <w:uiPriority w:val="9"/>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374C80"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374C80"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374C80"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374C80"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476B1"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476B1"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heme="minorHAnsi"/>
      <w:smallCaps/>
      <w:color w:val="1B1D3D"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1B1D3D" w:themeColor="text2" w:themeShade="BF"/>
      <w:sz w:val="28"/>
      <w:szCs w:val="28"/>
      <w:lang w:eastAsia="ja-JP"/>
    </w:rPr>
  </w:style>
  <w:style w:type="paragraph" w:styleId="Title">
    <w:name w:val="Title"/>
    <w:basedOn w:val="Normal"/>
    <w:link w:val="TitleChar"/>
    <w:uiPriority w:val="10"/>
    <w:qFormat/>
    <w:rsid w:val="00227ABD"/>
    <w:rPr>
      <w:rFonts w:asciiTheme="majorHAnsi" w:hAnsiTheme="majorHAnsi"/>
      <w:smallCaps/>
      <w:color w:val="4A66AC" w:themeColor="accent1"/>
      <w:spacing w:val="10"/>
      <w:sz w:val="44"/>
      <w:szCs w:val="48"/>
    </w:rPr>
  </w:style>
  <w:style w:type="character" w:customStyle="1" w:styleId="TitleChar">
    <w:name w:val="Title Char"/>
    <w:basedOn w:val="DefaultParagraphFont"/>
    <w:link w:val="Title"/>
    <w:uiPriority w:val="10"/>
    <w:rsid w:val="00227ABD"/>
    <w:rPr>
      <w:rFonts w:asciiTheme="majorHAnsi" w:hAnsiTheme="majorHAnsi" w:cstheme="minorHAnsi"/>
      <w:smallCaps/>
      <w:color w:val="4A66AC" w:themeColor="accent1"/>
      <w:spacing w:val="10"/>
      <w:sz w:val="44"/>
      <w:szCs w:val="48"/>
      <w:lang w:eastAsia="ja-JP"/>
    </w:rPr>
  </w:style>
  <w:style w:type="paragraph" w:styleId="Subtitle">
    <w:name w:val="Subtitle"/>
    <w:basedOn w:val="Normal"/>
    <w:link w:val="SubtitleChar"/>
    <w:uiPriority w:val="11"/>
    <w:qFormat/>
    <w:rPr>
      <w:i/>
      <w:color w:val="242852" w:themeColor="text2"/>
      <w:spacing w:val="5"/>
      <w:sz w:val="24"/>
      <w:szCs w:val="24"/>
    </w:rPr>
  </w:style>
  <w:style w:type="character" w:customStyle="1" w:styleId="SubtitleChar">
    <w:name w:val="Subtitle Char"/>
    <w:basedOn w:val="DefaultParagraphFont"/>
    <w:link w:val="Subtitle"/>
    <w:uiPriority w:val="11"/>
    <w:rPr>
      <w:rFonts w:cstheme="minorHAnsi"/>
      <w:i/>
      <w:color w:val="242852"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1B1D3D"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374C80" w:themeColor="accent1" w:themeShade="BF"/>
      <w:sz w:val="16"/>
      <w:szCs w:val="16"/>
    </w:rPr>
  </w:style>
  <w:style w:type="character" w:styleId="Emphasis">
    <w:name w:val="Emphasis"/>
    <w:uiPriority w:val="20"/>
    <w:qFormat/>
    <w:rPr>
      <w:b/>
      <w:i/>
      <w:color w:val="121428"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1B1D3D"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1B1D3D"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1B1D3D"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374C80" w:themeColor="accent1" w:themeShade="BF"/>
      <w:lang w:eastAsia="ja-JP"/>
    </w:rPr>
  </w:style>
  <w:style w:type="character" w:customStyle="1" w:styleId="Heading5Char">
    <w:name w:val="Heading 5 Char"/>
    <w:basedOn w:val="DefaultParagraphFont"/>
    <w:link w:val="Heading5"/>
    <w:uiPriority w:val="9"/>
    <w:semiHidden/>
    <w:rPr>
      <w:rFonts w:cstheme="minorHAnsi"/>
      <w:i/>
      <w:color w:val="374C80" w:themeColor="accent1" w:themeShade="BF"/>
      <w:lang w:eastAsia="ja-JP"/>
    </w:rPr>
  </w:style>
  <w:style w:type="character" w:customStyle="1" w:styleId="Heading6Char">
    <w:name w:val="Heading 6 Char"/>
    <w:basedOn w:val="DefaultParagraphFont"/>
    <w:link w:val="Heading6"/>
    <w:uiPriority w:val="9"/>
    <w:semiHidden/>
    <w:rPr>
      <w:rFonts w:cstheme="minorHAnsi"/>
      <w:b/>
      <w:color w:val="374C80"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374C80"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476B1"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476B1" w:themeColor="accent2" w:themeShade="BF"/>
      <w:sz w:val="18"/>
      <w:szCs w:val="18"/>
      <w:lang w:eastAsia="ja-JP"/>
    </w:rPr>
  </w:style>
  <w:style w:type="character" w:styleId="IntenseEmphasis">
    <w:name w:val="Intense Emphasis"/>
    <w:basedOn w:val="DefaultParagraphFont"/>
    <w:uiPriority w:val="21"/>
    <w:qFormat/>
    <w:rPr>
      <w:i/>
      <w:caps/>
      <w:color w:val="374C80"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1B1D3D" w:themeColor="text2" w:themeShade="BF"/>
      <w:sz w:val="20"/>
      <w:szCs w:val="20"/>
      <w:lang w:eastAsia="ja-JP"/>
    </w:rPr>
  </w:style>
  <w:style w:type="paragraph" w:styleId="IntenseQuote">
    <w:name w:val="Intense Quote"/>
    <w:basedOn w:val="Quote"/>
    <w:link w:val="IntenseQuoteChar"/>
    <w:uiPriority w:val="30"/>
    <w:qFormat/>
    <w:pPr>
      <w:pBdr>
        <w:bottom w:val="double" w:sz="4" w:space="4" w:color="4A66AC" w:themeColor="accent1"/>
      </w:pBdr>
      <w:spacing w:line="300" w:lineRule="auto"/>
      <w:ind w:left="936" w:right="936"/>
    </w:pPr>
    <w:rPr>
      <w:i w:val="0"/>
      <w:color w:val="374C80" w:themeColor="accent1" w:themeShade="BF"/>
    </w:rPr>
  </w:style>
  <w:style w:type="character" w:customStyle="1" w:styleId="IntenseQuoteChar">
    <w:name w:val="Intense Quote Char"/>
    <w:basedOn w:val="DefaultParagraphFont"/>
    <w:link w:val="IntenseQuote"/>
    <w:uiPriority w:val="30"/>
    <w:rPr>
      <w:rFonts w:cstheme="minorHAnsi"/>
      <w:color w:val="374C80"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476B1" w:themeColor="accent2" w:themeShade="BF"/>
      <w:spacing w:val="5"/>
      <w:sz w:val="18"/>
      <w:szCs w:val="18"/>
    </w:rPr>
  </w:style>
  <w:style w:type="paragraph" w:styleId="ListParagraph">
    <w:name w:val="List Paragraph"/>
    <w:basedOn w:val="Normal"/>
    <w:uiPriority w:val="1"/>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374C80" w:themeColor="accent1" w:themeShade="BF"/>
    </w:rPr>
  </w:style>
  <w:style w:type="character" w:styleId="SubtleReference">
    <w:name w:val="Subtle Reference"/>
    <w:basedOn w:val="DefaultParagraphFont"/>
    <w:uiPriority w:val="31"/>
    <w:qFormat/>
    <w:rPr>
      <w:rFonts w:cs="Times New Roman"/>
      <w:b/>
      <w:i/>
      <w:color w:val="3476B1" w:themeColor="accent2" w:themeShade="BF"/>
    </w:rPr>
  </w:style>
  <w:style w:type="table" w:styleId="TableGrid">
    <w:name w:val="Table Grid"/>
    <w:basedOn w:val="TableNormal"/>
    <w:uiPriority w:val="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14BD"/>
    <w:rPr>
      <w:color w:val="9454C3" w:themeColor="hyperlink"/>
      <w:u w:val="single"/>
    </w:rPr>
  </w:style>
  <w:style w:type="character" w:styleId="FollowedHyperlink">
    <w:name w:val="FollowedHyperlink"/>
    <w:basedOn w:val="DefaultParagraphFont"/>
    <w:uiPriority w:val="99"/>
    <w:semiHidden/>
    <w:unhideWhenUsed/>
    <w:rsid w:val="008D1690"/>
    <w:rPr>
      <w:color w:val="3EBBF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C9"/>
    <w:rPr>
      <w:rFonts w:cstheme="minorHAnsi"/>
      <w:color w:val="1B1D3D" w:themeColor="text2" w:themeShade="BF"/>
      <w:sz w:val="20"/>
      <w:szCs w:val="20"/>
      <w:lang w:eastAsia="ja-JP"/>
    </w:rPr>
  </w:style>
  <w:style w:type="paragraph" w:styleId="Heading1">
    <w:name w:val="heading 1"/>
    <w:basedOn w:val="Normal"/>
    <w:next w:val="Normal"/>
    <w:link w:val="Heading1Char"/>
    <w:uiPriority w:val="9"/>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374C80"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374C80"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374C80"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374C80"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476B1"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476B1"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heme="minorHAnsi"/>
      <w:smallCaps/>
      <w:color w:val="1B1D3D"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1B1D3D" w:themeColor="text2" w:themeShade="BF"/>
      <w:sz w:val="28"/>
      <w:szCs w:val="28"/>
      <w:lang w:eastAsia="ja-JP"/>
    </w:rPr>
  </w:style>
  <w:style w:type="paragraph" w:styleId="Title">
    <w:name w:val="Title"/>
    <w:basedOn w:val="Normal"/>
    <w:link w:val="TitleChar"/>
    <w:uiPriority w:val="10"/>
    <w:qFormat/>
    <w:rsid w:val="00227ABD"/>
    <w:rPr>
      <w:rFonts w:asciiTheme="majorHAnsi" w:hAnsiTheme="majorHAnsi"/>
      <w:smallCaps/>
      <w:color w:val="4A66AC" w:themeColor="accent1"/>
      <w:spacing w:val="10"/>
      <w:sz w:val="44"/>
      <w:szCs w:val="48"/>
    </w:rPr>
  </w:style>
  <w:style w:type="character" w:customStyle="1" w:styleId="TitleChar">
    <w:name w:val="Title Char"/>
    <w:basedOn w:val="DefaultParagraphFont"/>
    <w:link w:val="Title"/>
    <w:uiPriority w:val="10"/>
    <w:rsid w:val="00227ABD"/>
    <w:rPr>
      <w:rFonts w:asciiTheme="majorHAnsi" w:hAnsiTheme="majorHAnsi" w:cstheme="minorHAnsi"/>
      <w:smallCaps/>
      <w:color w:val="4A66AC" w:themeColor="accent1"/>
      <w:spacing w:val="10"/>
      <w:sz w:val="44"/>
      <w:szCs w:val="48"/>
      <w:lang w:eastAsia="ja-JP"/>
    </w:rPr>
  </w:style>
  <w:style w:type="paragraph" w:styleId="Subtitle">
    <w:name w:val="Subtitle"/>
    <w:basedOn w:val="Normal"/>
    <w:link w:val="SubtitleChar"/>
    <w:uiPriority w:val="11"/>
    <w:qFormat/>
    <w:rPr>
      <w:i/>
      <w:color w:val="242852" w:themeColor="text2"/>
      <w:spacing w:val="5"/>
      <w:sz w:val="24"/>
      <w:szCs w:val="24"/>
    </w:rPr>
  </w:style>
  <w:style w:type="character" w:customStyle="1" w:styleId="SubtitleChar">
    <w:name w:val="Subtitle Char"/>
    <w:basedOn w:val="DefaultParagraphFont"/>
    <w:link w:val="Subtitle"/>
    <w:uiPriority w:val="11"/>
    <w:rPr>
      <w:rFonts w:cstheme="minorHAnsi"/>
      <w:i/>
      <w:color w:val="242852"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1B1D3D"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374C80" w:themeColor="accent1" w:themeShade="BF"/>
      <w:sz w:val="16"/>
      <w:szCs w:val="16"/>
    </w:rPr>
  </w:style>
  <w:style w:type="character" w:styleId="Emphasis">
    <w:name w:val="Emphasis"/>
    <w:uiPriority w:val="20"/>
    <w:qFormat/>
    <w:rPr>
      <w:b/>
      <w:i/>
      <w:color w:val="121428"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1B1D3D"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1B1D3D"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1B1D3D"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374C80" w:themeColor="accent1" w:themeShade="BF"/>
      <w:lang w:eastAsia="ja-JP"/>
    </w:rPr>
  </w:style>
  <w:style w:type="character" w:customStyle="1" w:styleId="Heading5Char">
    <w:name w:val="Heading 5 Char"/>
    <w:basedOn w:val="DefaultParagraphFont"/>
    <w:link w:val="Heading5"/>
    <w:uiPriority w:val="9"/>
    <w:semiHidden/>
    <w:rPr>
      <w:rFonts w:cstheme="minorHAnsi"/>
      <w:i/>
      <w:color w:val="374C80" w:themeColor="accent1" w:themeShade="BF"/>
      <w:lang w:eastAsia="ja-JP"/>
    </w:rPr>
  </w:style>
  <w:style w:type="character" w:customStyle="1" w:styleId="Heading6Char">
    <w:name w:val="Heading 6 Char"/>
    <w:basedOn w:val="DefaultParagraphFont"/>
    <w:link w:val="Heading6"/>
    <w:uiPriority w:val="9"/>
    <w:semiHidden/>
    <w:rPr>
      <w:rFonts w:cstheme="minorHAnsi"/>
      <w:b/>
      <w:color w:val="374C80"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374C80"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476B1"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476B1" w:themeColor="accent2" w:themeShade="BF"/>
      <w:sz w:val="18"/>
      <w:szCs w:val="18"/>
      <w:lang w:eastAsia="ja-JP"/>
    </w:rPr>
  </w:style>
  <w:style w:type="character" w:styleId="IntenseEmphasis">
    <w:name w:val="Intense Emphasis"/>
    <w:basedOn w:val="DefaultParagraphFont"/>
    <w:uiPriority w:val="21"/>
    <w:qFormat/>
    <w:rPr>
      <w:i/>
      <w:caps/>
      <w:color w:val="374C80"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1B1D3D" w:themeColor="text2" w:themeShade="BF"/>
      <w:sz w:val="20"/>
      <w:szCs w:val="20"/>
      <w:lang w:eastAsia="ja-JP"/>
    </w:rPr>
  </w:style>
  <w:style w:type="paragraph" w:styleId="IntenseQuote">
    <w:name w:val="Intense Quote"/>
    <w:basedOn w:val="Quote"/>
    <w:link w:val="IntenseQuoteChar"/>
    <w:uiPriority w:val="30"/>
    <w:qFormat/>
    <w:pPr>
      <w:pBdr>
        <w:bottom w:val="double" w:sz="4" w:space="4" w:color="4A66AC" w:themeColor="accent1"/>
      </w:pBdr>
      <w:spacing w:line="300" w:lineRule="auto"/>
      <w:ind w:left="936" w:right="936"/>
    </w:pPr>
    <w:rPr>
      <w:i w:val="0"/>
      <w:color w:val="374C80" w:themeColor="accent1" w:themeShade="BF"/>
    </w:rPr>
  </w:style>
  <w:style w:type="character" w:customStyle="1" w:styleId="IntenseQuoteChar">
    <w:name w:val="Intense Quote Char"/>
    <w:basedOn w:val="DefaultParagraphFont"/>
    <w:link w:val="IntenseQuote"/>
    <w:uiPriority w:val="30"/>
    <w:rPr>
      <w:rFonts w:cstheme="minorHAnsi"/>
      <w:color w:val="374C80"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476B1" w:themeColor="accent2" w:themeShade="BF"/>
      <w:spacing w:val="5"/>
      <w:sz w:val="18"/>
      <w:szCs w:val="18"/>
    </w:rPr>
  </w:style>
  <w:style w:type="paragraph" w:styleId="ListParagraph">
    <w:name w:val="List Paragraph"/>
    <w:basedOn w:val="Normal"/>
    <w:uiPriority w:val="1"/>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374C80" w:themeColor="accent1" w:themeShade="BF"/>
    </w:rPr>
  </w:style>
  <w:style w:type="character" w:styleId="SubtleReference">
    <w:name w:val="Subtle Reference"/>
    <w:basedOn w:val="DefaultParagraphFont"/>
    <w:uiPriority w:val="31"/>
    <w:qFormat/>
    <w:rPr>
      <w:rFonts w:cs="Times New Roman"/>
      <w:b/>
      <w:i/>
      <w:color w:val="3476B1" w:themeColor="accent2" w:themeShade="BF"/>
    </w:rPr>
  </w:style>
  <w:style w:type="table" w:styleId="TableGrid">
    <w:name w:val="Table Grid"/>
    <w:basedOn w:val="TableNormal"/>
    <w:uiPriority w:val="1"/>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14BD"/>
    <w:rPr>
      <w:color w:val="9454C3" w:themeColor="hyperlink"/>
      <w:u w:val="single"/>
    </w:rPr>
  </w:style>
  <w:style w:type="character" w:styleId="FollowedHyperlink">
    <w:name w:val="FollowedHyperlink"/>
    <w:basedOn w:val="DefaultParagraphFont"/>
    <w:uiPriority w:val="99"/>
    <w:semiHidden/>
    <w:unhideWhenUsed/>
    <w:rsid w:val="008D1690"/>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20Gatz\AppData\Roaming\Microsoft\Templates\Report%20(Oriel%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Presdent &amp; CEO</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DC871-0A98-4F4E-84D6-177B62D27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\Users\Ani Gatz\AppData\Roaming\Microsoft\Templates\Report (Oriel theme).dotx</Template>
  <TotalTime>3</TotalTime>
  <Pages>2</Pages>
  <Words>630</Words>
  <Characters>3594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Establishing A Corporate Foundation</vt:lpstr>
    </vt:vector>
  </TitlesOfParts>
  <Company>Double tax benefit – avoid capital gains tax on lifetime gifts  and obtain charitable deduction</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 Corporate Foundation</dc:title>
  <dc:subject>____________________________________________________</dc:subject>
  <dc:creator>MSPTech</dc:creator>
  <cp:keywords/>
  <cp:lastModifiedBy>admin</cp:lastModifiedBy>
  <cp:revision>5</cp:revision>
  <cp:lastPrinted>2017-07-14T20:37:00Z</cp:lastPrinted>
  <dcterms:created xsi:type="dcterms:W3CDTF">2019-03-08T00:13:00Z</dcterms:created>
  <dcterms:modified xsi:type="dcterms:W3CDTF">2019-03-08T19:26:00Z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ies>
</file>