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venir Medium" w:hAnsi="Avenir Medium"/>
          <w:iCs/>
          <w:smallCaps/>
          <w:color w:val="242852" w:themeColor="text2"/>
          <w:spacing w:val="5"/>
          <w:sz w:val="24"/>
          <w:szCs w:val="24"/>
        </w:rPr>
        <w:id w:val="-689369987"/>
        <w:docPartObj>
          <w:docPartGallery w:val="Cover Pages"/>
          <w:docPartUnique/>
        </w:docPartObj>
      </w:sdtPr>
      <w:sdtEndPr/>
      <w:sdtContent>
        <w:p w14:paraId="4371FB8F" w14:textId="4DA71570" w:rsidR="008776C6" w:rsidRPr="008776C6" w:rsidRDefault="002B7DEC" w:rsidP="008776C6">
          <w:pPr>
            <w:rPr>
              <w:rFonts w:ascii="Avenir Medium" w:hAnsi="Avenir Medium"/>
              <w:iCs/>
              <w:color w:val="000000" w:themeColor="text1"/>
              <w:sz w:val="28"/>
              <w:szCs w:val="28"/>
            </w:rPr>
          </w:pPr>
          <w:r w:rsidRPr="00A33733">
            <w:rPr>
              <w:rFonts w:ascii="Avenir Medium" w:hAnsi="Avenir Medium"/>
              <w:smallCaps/>
              <w:noProof/>
              <w:color w:val="FFFFFF" w:themeColor="background1"/>
              <w:spacing w:val="10"/>
              <w:sz w:val="48"/>
              <w:szCs w:val="48"/>
              <w:lang w:eastAsia="en-US"/>
            </w:rPr>
            <mc:AlternateContent>
              <mc:Choice Requires="wps">
                <w:drawing>
                  <wp:anchor distT="0" distB="0" distL="114300" distR="114300" simplePos="0" relativeHeight="251690496" behindDoc="1" locked="0" layoutInCell="1" allowOverlap="1" wp14:anchorId="69911EE4" wp14:editId="6FE34F2F">
                    <wp:simplePos x="0" y="0"/>
                    <wp:positionH relativeFrom="column">
                      <wp:posOffset>-228600</wp:posOffset>
                    </wp:positionH>
                    <wp:positionV relativeFrom="paragraph">
                      <wp:posOffset>-114300</wp:posOffset>
                    </wp:positionV>
                    <wp:extent cx="61722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72200" cy="685800"/>
                            </a:xfrm>
                            <a:prstGeom prst="rect">
                              <a:avLst/>
                            </a:prstGeom>
                            <a:solidFill>
                              <a:srgbClr val="137EBE"/>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C2827" w14:textId="77777777" w:rsidR="002B7DEC" w:rsidRDefault="002B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8.95pt;width:486pt;height:5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" fillcolor="#137ebe" stroked="f">
                    <v:textbox>
                      <w:txbxContent>
                        <w:p w14:paraId="5EEC2827" w14:textId="77777777" w:rsidR="002B7DEC" w:rsidRDefault="002B7DEC"/>
                      </w:txbxContent>
                    </v:textbox>
                  </v:shape>
                </w:pict>
              </mc:Fallback>
            </mc:AlternateContent>
          </w:r>
          <w:r w:rsidR="008776C6" w:rsidRPr="00A33733">
            <w:rPr>
              <w:rFonts w:ascii="Avenir Medium" w:hAnsi="Avenir Medium"/>
              <w:smallCaps/>
              <w:color w:val="FFFFFF" w:themeColor="background1"/>
              <w:spacing w:val="10"/>
              <w:sz w:val="48"/>
              <w:szCs w:val="48"/>
            </w:rPr>
            <w:t>IRA &amp; QUALIFIED RETIREMENT PLANS</w:t>
          </w:r>
          <w:r w:rsidR="00760741" w:rsidRPr="00760741">
            <w:rPr>
              <w:rFonts w:ascii="Avenir Medium" w:hAnsi="Avenir Medium"/>
              <w:smallCaps/>
              <w:color w:val="FFFFFF" w:themeColor="background1"/>
              <w:spacing w:val="10"/>
              <w:sz w:val="56"/>
              <w:szCs w:val="56"/>
              <w:vertAlign w:val="superscript"/>
            </w:rPr>
            <w:t>*</w:t>
          </w:r>
          <w:r w:rsidR="008776C6" w:rsidRPr="008776C6">
            <w:rPr>
              <w:rFonts w:ascii="Avenir Medium" w:hAnsi="Avenir Medium"/>
              <w:smallCaps/>
              <w:color w:val="000000" w:themeColor="text1"/>
              <w:spacing w:val="10"/>
              <w:sz w:val="56"/>
              <w:szCs w:val="56"/>
            </w:rPr>
            <w:t xml:space="preserve"> </w:t>
          </w:r>
          <w:sdt>
            <w:sdtPr>
              <w:rPr>
                <w:rFonts w:ascii="Avenir Medium" w:hAnsi="Avenir Medium"/>
                <w:iCs/>
                <w:color w:val="000000" w:themeColor="text1"/>
                <w:sz w:val="28"/>
                <w:szCs w:val="28"/>
              </w:rPr>
              <w:alias w:val="Subtitle"/>
              <w:id w:val="1288014036"/>
              <w:dataBinding w:prefixMappings="xmlns:ns0='http://schemas.openxmlformats.org/package/2006/metadata/core-properties' xmlns:ns1='http://purl.org/dc/elements/1.1/'" w:xpath="/ns0:coreProperties[1]/ns1:subject[1]" w:storeItemID="{6C3C8BC8-F283-45AE-878A-BAB7291924A1}"/>
              <w:text/>
            </w:sdtPr>
            <w:sdtEndPr/>
            <w:sdtContent>
              <w:r w:rsidR="008776C6" w:rsidRPr="008776C6">
                <w:rPr>
                  <w:rFonts w:ascii="Avenir Medium" w:hAnsi="Avenir Medium"/>
                  <w:iCs/>
                  <w:color w:val="000000" w:themeColor="text1"/>
                  <w:sz w:val="28"/>
                  <w:szCs w:val="28"/>
                </w:rPr>
                <w:t>____________________________________________________</w:t>
              </w:r>
            </w:sdtContent>
          </w:sdt>
        </w:p>
        <w:p w14:paraId="66DA6EF2" w14:textId="77777777" w:rsidR="008B155D" w:rsidRPr="008B155D" w:rsidRDefault="008B155D" w:rsidP="008B155D">
          <w:pPr>
            <w:rPr>
              <w:rFonts w:ascii="Avenir Medium" w:hAnsi="Avenir Medium"/>
              <w:color w:val="000000" w:themeColor="text1"/>
              <w:sz w:val="22"/>
              <w:szCs w:val="22"/>
            </w:rPr>
          </w:pPr>
          <w:r w:rsidRPr="008B155D">
            <w:rPr>
              <w:rFonts w:ascii="Avenir Medium" w:hAnsi="Avenir Medium"/>
              <w:color w:val="000000" w:themeColor="text1"/>
              <w:sz w:val="22"/>
              <w:szCs w:val="22"/>
            </w:rPr>
            <w:t xml:space="preserve">Retirement plan assets are some of the most tax efficient assets to transfer to charity upon death. Distributions directly to heirs from most IRAs and qualified retirement plans at the end of your client’s life can be subject not only to income tax and estate tax, but potentially to other types of taxes as well. By transferring assets in your client’s IRAs and </w:t>
          </w:r>
          <w:bookmarkStart w:id="0" w:name="_GoBack"/>
          <w:bookmarkEnd w:id="0"/>
          <w:r w:rsidRPr="008B155D">
            <w:rPr>
              <w:rFonts w:ascii="Avenir Medium" w:hAnsi="Avenir Medium"/>
              <w:color w:val="000000" w:themeColor="text1"/>
              <w:sz w:val="22"/>
              <w:szCs w:val="22"/>
            </w:rPr>
            <w:t>certain qualified plans to a Community Foundation or specific nonprofit at death, your client can fulfill their charitable goals and your client’s heirs can completely avoid any taxation.</w:t>
          </w:r>
        </w:p>
        <w:p w14:paraId="6291A4E5" w14:textId="77777777" w:rsidR="008B155D" w:rsidRPr="008B155D" w:rsidRDefault="008B155D" w:rsidP="008B155D">
          <w:pPr>
            <w:rPr>
              <w:rFonts w:ascii="Avenir Medium" w:hAnsi="Avenir Medium"/>
              <w:color w:val="000000" w:themeColor="text1"/>
              <w:sz w:val="22"/>
              <w:szCs w:val="22"/>
            </w:rPr>
          </w:pPr>
          <w:r w:rsidRPr="008B155D">
            <w:rPr>
              <w:rFonts w:ascii="Avenir Medium" w:hAnsi="Avenir Medium"/>
              <w:color w:val="000000" w:themeColor="text1"/>
              <w:sz w:val="22"/>
              <w:szCs w:val="22"/>
            </w:rPr>
            <w:t>Exception: distributions to individuals from Roth IRAs and Roth 401(k) plans are normally not subject to income tax, although they can be subject to estate and generation-skipping transfer taxes.</w:t>
          </w:r>
        </w:p>
        <w:p w14:paraId="3364894E" w14:textId="77777777" w:rsidR="008B155D" w:rsidRDefault="008B155D" w:rsidP="008776C6">
          <w:pPr>
            <w:spacing w:after="0"/>
            <w:rPr>
              <w:rFonts w:ascii="Avenir Medium" w:hAnsi="Avenir Medium"/>
              <w:color w:val="ED743A"/>
              <w:sz w:val="36"/>
              <w:szCs w:val="36"/>
            </w:rPr>
          </w:pPr>
        </w:p>
        <w:p w14:paraId="15BCFD66" w14:textId="224EC69D" w:rsidR="008776C6" w:rsidRPr="008B155D" w:rsidRDefault="008776C6" w:rsidP="008776C6">
          <w:pPr>
            <w:spacing w:after="0"/>
            <w:rPr>
              <w:rFonts w:ascii="Avenir Medium" w:hAnsi="Avenir Medium"/>
              <w:color w:val="ED743A"/>
              <w:sz w:val="36"/>
              <w:szCs w:val="36"/>
            </w:rPr>
          </w:pPr>
          <w:r w:rsidRPr="008B155D">
            <w:rPr>
              <w:rFonts w:ascii="Avenir Medium" w:hAnsi="Avenir Medium"/>
              <w:color w:val="ED743A"/>
              <w:sz w:val="36"/>
              <w:szCs w:val="36"/>
            </w:rPr>
            <w:t>N</w:t>
          </w:r>
          <w:r w:rsidR="008B155D">
            <w:rPr>
              <w:rFonts w:ascii="Avenir Medium" w:hAnsi="Avenir Medium"/>
              <w:color w:val="ED743A"/>
              <w:sz w:val="36"/>
              <w:szCs w:val="36"/>
            </w:rPr>
            <w:t xml:space="preserve">aming a Nonprofit as Your IRA or Qualified Plan Beneficiary </w:t>
          </w:r>
        </w:p>
        <w:p w14:paraId="2BE38867" w14:textId="26105DFD" w:rsidR="008B155D" w:rsidRPr="008B155D" w:rsidRDefault="008B155D" w:rsidP="008B155D">
          <w:pPr>
            <w:rPr>
              <w:rFonts w:ascii="Avenir Medium" w:hAnsi="Avenir Medium"/>
              <w:color w:val="000000" w:themeColor="text1"/>
              <w:sz w:val="22"/>
              <w:szCs w:val="22"/>
            </w:rPr>
          </w:pPr>
          <w:r>
            <w:rPr>
              <w:rFonts w:ascii="Avenir Medium" w:hAnsi="Avenir Medium"/>
              <w:color w:val="000000" w:themeColor="text1"/>
              <w:sz w:val="22"/>
              <w:szCs w:val="22"/>
            </w:rPr>
            <w:br/>
          </w:r>
          <w:r w:rsidRPr="008B155D">
            <w:rPr>
              <w:rFonts w:ascii="Avenir Medium" w:hAnsi="Avenir Medium"/>
              <w:color w:val="000000" w:themeColor="text1"/>
              <w:sz w:val="22"/>
              <w:szCs w:val="22"/>
            </w:rPr>
            <w:t>Your client can designate a specific nonprofit(s) as your client’s IRA or qualified retirement plan beneficiary.  In addition, your client can also designate a Community Foundation or your client’s “fund” at the Community Foundation as your client’s beneficiary. These funds can be used to establish the charitable fund of your client’s choice at the Community Foundation.</w:t>
          </w:r>
        </w:p>
        <w:p w14:paraId="52F490D0" w14:textId="77777777" w:rsidR="008B155D" w:rsidRPr="008B155D" w:rsidRDefault="008B155D" w:rsidP="008B155D">
          <w:pPr>
            <w:rPr>
              <w:rFonts w:ascii="Avenir Medium" w:hAnsi="Avenir Medium"/>
              <w:color w:val="000000" w:themeColor="text1"/>
              <w:sz w:val="22"/>
              <w:szCs w:val="22"/>
            </w:rPr>
          </w:pPr>
          <w:r w:rsidRPr="008B155D">
            <w:rPr>
              <w:rFonts w:ascii="Avenir Medium" w:hAnsi="Avenir Medium"/>
              <w:color w:val="000000" w:themeColor="text1"/>
              <w:sz w:val="22"/>
              <w:szCs w:val="22"/>
            </w:rPr>
            <w:t xml:space="preserve">To name a nonprofit or a Community Foundation as beneficiary, contact your client’s IRA or qualified retirement plan administrator and request a “change of beneficiary” form. </w:t>
          </w:r>
        </w:p>
        <w:p w14:paraId="768D0B8C" w14:textId="7A4EA6A4" w:rsidR="002B7DEC" w:rsidRDefault="002B7DEC">
          <w:pPr>
            <w:rPr>
              <w:rFonts w:ascii="Avenir Medium" w:hAnsi="Avenir Medium"/>
              <w:color w:val="000000" w:themeColor="text1"/>
              <w:sz w:val="22"/>
              <w:szCs w:val="22"/>
            </w:rPr>
          </w:pPr>
          <w:r>
            <w:rPr>
              <w:rFonts w:ascii="Avenir Medium" w:hAnsi="Avenir Medium"/>
              <w:color w:val="000000" w:themeColor="text1"/>
              <w:sz w:val="22"/>
              <w:szCs w:val="22"/>
            </w:rPr>
            <w:br w:type="page"/>
          </w:r>
        </w:p>
        <w:p w14:paraId="365BD2CC" w14:textId="77777777" w:rsidR="008776C6" w:rsidRPr="008776C6" w:rsidRDefault="008776C6" w:rsidP="008776C6">
          <w:pPr>
            <w:spacing w:after="0"/>
            <w:rPr>
              <w:rFonts w:ascii="Avenir Medium" w:hAnsi="Avenir Medium"/>
              <w:color w:val="000000" w:themeColor="text1"/>
              <w:sz w:val="22"/>
              <w:szCs w:val="22"/>
            </w:rPr>
          </w:pPr>
        </w:p>
        <w:p w14:paraId="1C0101C8" w14:textId="5AEE22AB" w:rsidR="008776C6" w:rsidRPr="00760741" w:rsidRDefault="008776C6" w:rsidP="008776C6">
          <w:pPr>
            <w:spacing w:after="0"/>
            <w:rPr>
              <w:rFonts w:ascii="Avenir Medium" w:hAnsi="Avenir Medium"/>
              <w:color w:val="ED743A"/>
              <w:sz w:val="36"/>
              <w:szCs w:val="36"/>
            </w:rPr>
          </w:pPr>
          <w:r w:rsidRPr="00760741">
            <w:rPr>
              <w:rFonts w:ascii="Avenir Medium" w:hAnsi="Avenir Medium"/>
              <w:color w:val="ED743A"/>
              <w:sz w:val="36"/>
              <w:szCs w:val="36"/>
            </w:rPr>
            <w:t>U</w:t>
          </w:r>
          <w:r w:rsidR="00760741">
            <w:rPr>
              <w:rFonts w:ascii="Avenir Medium" w:hAnsi="Avenir Medium"/>
              <w:color w:val="ED743A"/>
              <w:sz w:val="36"/>
              <w:szCs w:val="36"/>
            </w:rPr>
            <w:t xml:space="preserve">sing an IRA to Establish a Charitable Remainder Trust </w:t>
          </w:r>
        </w:p>
        <w:p w14:paraId="08F6F6FA" w14:textId="4E9F3AFF" w:rsidR="00760741" w:rsidRPr="00760741" w:rsidRDefault="00760741" w:rsidP="00760741">
          <w:pPr>
            <w:rPr>
              <w:rFonts w:ascii="Avenir Medium" w:hAnsi="Avenir Medium"/>
              <w:color w:val="000000" w:themeColor="text1"/>
              <w:sz w:val="22"/>
              <w:szCs w:val="22"/>
            </w:rPr>
          </w:pPr>
          <w:r>
            <w:rPr>
              <w:rFonts w:ascii="Avenir Medium" w:hAnsi="Avenir Medium"/>
              <w:color w:val="000000" w:themeColor="text1"/>
              <w:sz w:val="22"/>
              <w:szCs w:val="22"/>
            </w:rPr>
            <w:br/>
          </w:r>
          <w:r w:rsidRPr="00760741">
            <w:rPr>
              <w:rFonts w:ascii="Avenir Medium" w:hAnsi="Avenir Medium"/>
              <w:color w:val="000000" w:themeColor="text1"/>
              <w:sz w:val="22"/>
              <w:szCs w:val="22"/>
            </w:rPr>
            <w:t>Another option for using your client’s IRA or qualified retirement plan to accomplish your client’s philanthropic objectives is to designate a charitable remainder trust as the beneficiary at the end of your client’s life. In so doing, your client will provide life income to one or more surviving family members as well as an eventual gift to the specified nonprofit or “fund” at a Community Foundation.</w:t>
          </w:r>
        </w:p>
        <w:p w14:paraId="056D9C61" w14:textId="77777777" w:rsidR="00760741" w:rsidRDefault="00760741" w:rsidP="00760741">
          <w:pPr>
            <w:rPr>
              <w:sz w:val="24"/>
              <w:szCs w:val="24"/>
            </w:rPr>
          </w:pPr>
        </w:p>
        <w:p w14:paraId="5914FA9F" w14:textId="77777777" w:rsidR="00760741" w:rsidRPr="00760741" w:rsidRDefault="00760741" w:rsidP="00760741">
          <w:pPr>
            <w:rPr>
              <w:rFonts w:ascii="Avenir Medium" w:hAnsi="Avenir Medium"/>
              <w:color w:val="000000" w:themeColor="text1"/>
              <w:sz w:val="22"/>
              <w:szCs w:val="22"/>
            </w:rPr>
          </w:pPr>
          <w:r w:rsidRPr="00760741">
            <w:rPr>
              <w:rFonts w:ascii="Avenir Medium" w:hAnsi="Avenir Medium"/>
              <w:color w:val="000000" w:themeColor="text1"/>
              <w:sz w:val="22"/>
              <w:szCs w:val="22"/>
            </w:rPr>
            <w:t>*Please note that the information contained herein is not intended to provide specific legal or financial advice and should not be relied upon as a substitute for such professional advice. Leave 10 Kitsap encourages you to seek professional legal, estate planning and financial advice before deciding on a course of action.</w:t>
          </w:r>
        </w:p>
        <w:p w14:paraId="4B810DEA" w14:textId="77777777" w:rsidR="008776C6" w:rsidRPr="008776C6" w:rsidRDefault="008776C6" w:rsidP="00760741">
          <w:pPr>
            <w:rPr>
              <w:rFonts w:ascii="Avenir Medium" w:hAnsi="Avenir Medium"/>
              <w:color w:val="000000" w:themeColor="text1"/>
              <w:sz w:val="22"/>
              <w:szCs w:val="22"/>
            </w:rPr>
          </w:pPr>
        </w:p>
        <w:p w14:paraId="5E175F3B" w14:textId="77777777" w:rsidR="008776C6" w:rsidRPr="008776C6" w:rsidRDefault="008776C6" w:rsidP="008776C6">
          <w:pPr>
            <w:spacing w:after="0"/>
            <w:rPr>
              <w:rFonts w:ascii="Avenir Medium" w:hAnsi="Avenir Medium"/>
            </w:rPr>
          </w:pPr>
        </w:p>
        <w:p w14:paraId="646956FE" w14:textId="00A1CE19" w:rsidR="009A578F" w:rsidRPr="008776C6" w:rsidRDefault="009A578F" w:rsidP="00D07714">
          <w:pPr>
            <w:spacing w:after="0"/>
            <w:ind w:left="-90"/>
            <w:rPr>
              <w:rFonts w:ascii="Avenir Medium" w:hAnsi="Avenir Medium"/>
            </w:rPr>
          </w:pPr>
        </w:p>
        <w:p w14:paraId="383B3646" w14:textId="685A53F3" w:rsidR="0009398A" w:rsidRPr="008776C6" w:rsidRDefault="00CF06EE" w:rsidP="00227ABD">
          <w:pPr>
            <w:spacing w:after="0"/>
            <w:ind w:left="-90"/>
            <w:rPr>
              <w:rFonts w:ascii="Avenir Medium" w:hAnsi="Avenir Medium"/>
              <w:iCs/>
              <w:smallCaps/>
              <w:color w:val="242852" w:themeColor="text2"/>
              <w:spacing w:val="5"/>
              <w:sz w:val="24"/>
              <w:szCs w:val="24"/>
            </w:rPr>
          </w:pPr>
          <w:r w:rsidRPr="008776C6">
            <w:rPr>
              <w:rFonts w:ascii="Avenir Medium" w:eastAsia="Century Schoolbook" w:hAnsi="Avenir Medium" w:cs="Century Schoolbook"/>
              <w:iCs/>
              <w:smallCaps/>
              <w:noProof/>
              <w:color w:val="575F6D"/>
              <w:spacing w:val="5"/>
              <w:sz w:val="24"/>
              <w:szCs w:val="24"/>
              <w:lang w:eastAsia="en-US"/>
            </w:rPr>
            <mc:AlternateContent>
              <mc:Choice Requires="wps">
                <w:drawing>
                  <wp:anchor distT="0" distB="0" distL="114300" distR="114300" simplePos="0" relativeHeight="251689472" behindDoc="0" locked="0" layoutInCell="1" allowOverlap="1" wp14:anchorId="71CAC92B" wp14:editId="5B6C9196">
                    <wp:simplePos x="0" y="0"/>
                    <wp:positionH relativeFrom="margin">
                      <wp:posOffset>-114300</wp:posOffset>
                    </wp:positionH>
                    <wp:positionV relativeFrom="paragraph">
                      <wp:posOffset>5160645</wp:posOffset>
                    </wp:positionV>
                    <wp:extent cx="5715000" cy="1028700"/>
                    <wp:effectExtent l="0" t="0" r="25400" b="38100"/>
                    <wp:wrapNone/>
                    <wp:docPr id="1" name="Text Box 1"/>
                    <wp:cNvGraphicFramePr/>
                    <a:graphic xmlns:a="http://schemas.openxmlformats.org/drawingml/2006/main">
                      <a:graphicData uri="http://schemas.microsoft.com/office/word/2010/wordprocessingShape">
                        <wps:wsp>
                          <wps:cNvSpPr txBox="1"/>
                          <wps:spPr>
                            <a:xfrm>
                              <a:off x="0" y="0"/>
                              <a:ext cx="5715000" cy="1028700"/>
                            </a:xfrm>
                            <a:prstGeom prst="rect">
                              <a:avLst/>
                            </a:prstGeom>
                            <a:solidFill>
                              <a:schemeClr val="lt1"/>
                            </a:solidFill>
                            <a:ln w="6350">
                              <a:solidFill>
                                <a:srgbClr val="137EBE"/>
                              </a:solidFill>
                            </a:ln>
                          </wps:spPr>
                          <wps:txbx>
                            <w:txbxContent>
                              <w:p w14:paraId="3910FE96" w14:textId="7AB85384" w:rsidR="008776C6" w:rsidRPr="008776C6" w:rsidRDefault="008776C6" w:rsidP="00694BB3">
                                <w:pPr>
                                  <w:spacing w:after="0"/>
                                  <w:rPr>
                                    <w:rFonts w:ascii="Avenir Medium" w:hAnsi="Avenir Medium"/>
                                    <w:color w:val="000000" w:themeColor="text1"/>
                                    <w:sz w:val="22"/>
                                    <w:szCs w:val="22"/>
                                  </w:rPr>
                                </w:pPr>
                                <w:r w:rsidRPr="008776C6">
                                  <w:rPr>
                                    <w:rFonts w:ascii="Avenir Medium" w:hAnsi="Avenir Medium"/>
                                    <w:color w:val="000000" w:themeColor="text1"/>
                                    <w:sz w:val="22"/>
                                    <w:szCs w:val="22"/>
                                  </w:rPr>
                                  <w:t>Please note that the information contained herein is not intended to provide specific legal or financial advice and should not be relied upon as a substitute for such professional advice. We encourage you to seek professional legal, estate planning, and financial advice before deciding on a course of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8.95pt;margin-top:406.35pt;width:450pt;height:81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" fillcolor="white [3201]" strokecolor="#137ebe" strokeweight=".5pt">
                    <v:textbox>
                      <w:txbxContent>
                        <w:p w14:paraId="3910FE96" w14:textId="7AB85384" w:rsidR="008776C6" w:rsidRPr="008776C6" w:rsidRDefault="008776C6" w:rsidP="00694BB3">
                          <w:pPr>
                            <w:spacing w:after="0"/>
                            <w:rPr>
                              <w:rFonts w:ascii="Avenir Medium" w:hAnsi="Avenir Medium"/>
                              <w:color w:val="000000" w:themeColor="text1"/>
                              <w:sz w:val="22"/>
                              <w:szCs w:val="22"/>
                            </w:rPr>
                          </w:pPr>
                          <w:r w:rsidRPr="008776C6">
                            <w:rPr>
                              <w:rFonts w:ascii="Avenir Medium" w:hAnsi="Avenir Medium"/>
                              <w:color w:val="000000" w:themeColor="text1"/>
                              <w:sz w:val="22"/>
                              <w:szCs w:val="22"/>
                            </w:rPr>
                            <w:t>Please note that the information contained herein is not intended to provide specific legal or financial advice and should not be relied upon as a substitute for such professional advice. We encourage you to seek professional legal, estate planning, and financial advice before deciding on a course of action.</w:t>
                          </w:r>
                        </w:p>
                      </w:txbxContent>
                    </v:textbox>
                    <w10:wrap anchorx="margin"/>
                  </v:shape>
                </w:pict>
              </mc:Fallback>
            </mc:AlternateContent>
          </w:r>
          <w:r w:rsidR="00D07714" w:rsidRPr="008776C6">
            <w:rPr>
              <w:rFonts w:ascii="Avenir Medium" w:hAnsi="Avenir Medium"/>
              <w:iCs/>
              <w:smallCaps/>
              <w:color w:val="242852" w:themeColor="text2"/>
              <w:spacing w:val="5"/>
              <w:sz w:val="24"/>
              <w:szCs w:val="24"/>
            </w:rPr>
            <w:t xml:space="preserve"> </w:t>
          </w:r>
        </w:p>
      </w:sdtContent>
    </w:sdt>
    <w:sectPr w:rsidR="0009398A" w:rsidRPr="008776C6" w:rsidSect="00227ABD">
      <w:headerReference w:type="default" r:id="rId10"/>
      <w:footerReference w:type="default" r:id="rId11"/>
      <w:pgSz w:w="12240" w:h="15840"/>
      <w:pgMar w:top="1440" w:right="1584" w:bottom="1440" w:left="1584" w:header="720" w:footer="432"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E0C41" w14:textId="77777777" w:rsidR="008776C6" w:rsidRDefault="008776C6">
      <w:pPr>
        <w:spacing w:after="0" w:line="240" w:lineRule="auto"/>
      </w:pPr>
      <w:r>
        <w:separator/>
      </w:r>
    </w:p>
  </w:endnote>
  <w:endnote w:type="continuationSeparator" w:id="0">
    <w:p w14:paraId="7F206601" w14:textId="77777777" w:rsidR="008776C6" w:rsidRDefault="0087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CA467" w14:textId="532CEEB9" w:rsidR="008776C6" w:rsidRDefault="008776C6">
    <w:pPr>
      <w:pStyle w:val="Footer"/>
    </w:pPr>
    <w:r>
      <w:ptab w:relativeTo="margin" w:alignment="right" w:leader="none"/>
    </w:r>
    <w:r>
      <w:t xml:space="preserve"> </w:t>
    </w:r>
  </w:p>
  <w:p w14:paraId="1AABCCC6" w14:textId="77777777" w:rsidR="008776C6" w:rsidRDefault="008776C6"/>
  <w:p w14:paraId="4BDB9B1A" w14:textId="77777777" w:rsidR="008776C6" w:rsidRDefault="008776C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8CCD" w14:textId="77777777" w:rsidR="008776C6" w:rsidRDefault="008776C6">
      <w:pPr>
        <w:spacing w:after="0" w:line="240" w:lineRule="auto"/>
      </w:pPr>
      <w:r>
        <w:separator/>
      </w:r>
    </w:p>
  </w:footnote>
  <w:footnote w:type="continuationSeparator" w:id="0">
    <w:p w14:paraId="6418B72C" w14:textId="77777777" w:rsidR="008776C6" w:rsidRDefault="00877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C3DC" w14:textId="77777777" w:rsidR="008776C6" w:rsidRDefault="008776C6"/>
  <w:p w14:paraId="1FC2A7CA" w14:textId="77777777" w:rsidR="008776C6" w:rsidRDefault="008776C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3C3"/>
    <w:multiLevelType w:val="hybridMultilevel"/>
    <w:tmpl w:val="2F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105"/>
    <w:multiLevelType w:val="hybridMultilevel"/>
    <w:tmpl w:val="0E8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469B"/>
    <w:multiLevelType w:val="hybridMultilevel"/>
    <w:tmpl w:val="BB9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A66AC" w:themeColor="accent1"/>
        <w:sz w:val="16"/>
      </w:rPr>
    </w:lvl>
    <w:lvl w:ilvl="1">
      <w:start w:val="1"/>
      <w:numFmt w:val="bullet"/>
      <w:lvlText w:val=""/>
      <w:lvlJc w:val="left"/>
      <w:pPr>
        <w:ind w:left="490" w:hanging="245"/>
      </w:pPr>
      <w:rPr>
        <w:rFonts w:ascii="Symbol" w:hAnsi="Symbol" w:hint="default"/>
        <w:color w:val="4A66AC" w:themeColor="accent1"/>
        <w:sz w:val="18"/>
      </w:rPr>
    </w:lvl>
    <w:lvl w:ilvl="2">
      <w:start w:val="1"/>
      <w:numFmt w:val="bullet"/>
      <w:lvlText w:val=""/>
      <w:lvlJc w:val="left"/>
      <w:pPr>
        <w:ind w:left="735" w:hanging="245"/>
      </w:pPr>
      <w:rPr>
        <w:rFonts w:ascii="Symbol" w:hAnsi="Symbol" w:hint="default"/>
        <w:color w:val="4A66AC" w:themeColor="accent1"/>
        <w:sz w:val="18"/>
      </w:rPr>
    </w:lvl>
    <w:lvl w:ilvl="3">
      <w:start w:val="1"/>
      <w:numFmt w:val="bullet"/>
      <w:lvlText w:val=""/>
      <w:lvlJc w:val="left"/>
      <w:pPr>
        <w:ind w:left="980" w:hanging="245"/>
      </w:pPr>
      <w:rPr>
        <w:rFonts w:ascii="Symbol" w:hAnsi="Symbol" w:hint="default"/>
        <w:color w:val="374C80" w:themeColor="accent1" w:themeShade="BF"/>
        <w:sz w:val="12"/>
      </w:rPr>
    </w:lvl>
    <w:lvl w:ilvl="4">
      <w:start w:val="1"/>
      <w:numFmt w:val="bullet"/>
      <w:lvlText w:val=""/>
      <w:lvlJc w:val="left"/>
      <w:pPr>
        <w:ind w:left="1225" w:hanging="245"/>
      </w:pPr>
      <w:rPr>
        <w:rFonts w:ascii="Symbol" w:hAnsi="Symbol" w:hint="default"/>
        <w:color w:val="374C80" w:themeColor="accent1" w:themeShade="BF"/>
        <w:sz w:val="12"/>
      </w:rPr>
    </w:lvl>
    <w:lvl w:ilvl="5">
      <w:start w:val="1"/>
      <w:numFmt w:val="bullet"/>
      <w:lvlText w:val=""/>
      <w:lvlJc w:val="left"/>
      <w:pPr>
        <w:ind w:left="1470" w:hanging="245"/>
      </w:pPr>
      <w:rPr>
        <w:rFonts w:ascii="Symbol" w:hAnsi="Symbol" w:hint="default"/>
        <w:color w:val="9D90A0" w:themeColor="accent6"/>
        <w:sz w:val="12"/>
      </w:rPr>
    </w:lvl>
    <w:lvl w:ilvl="6">
      <w:start w:val="1"/>
      <w:numFmt w:val="bullet"/>
      <w:lvlText w:val=""/>
      <w:lvlJc w:val="left"/>
      <w:pPr>
        <w:ind w:left="1715" w:hanging="245"/>
      </w:pPr>
      <w:rPr>
        <w:rFonts w:ascii="Symbol" w:hAnsi="Symbol" w:hint="default"/>
        <w:color w:val="9D90A0" w:themeColor="accent6"/>
        <w:sz w:val="12"/>
      </w:rPr>
    </w:lvl>
    <w:lvl w:ilvl="7">
      <w:start w:val="1"/>
      <w:numFmt w:val="bullet"/>
      <w:lvlText w:val=""/>
      <w:lvlJc w:val="left"/>
      <w:pPr>
        <w:ind w:left="1960" w:hanging="245"/>
      </w:pPr>
      <w:rPr>
        <w:rFonts w:ascii="Symbol" w:hAnsi="Symbol" w:hint="default"/>
        <w:color w:val="9D90A0" w:themeColor="accent6"/>
        <w:sz w:val="12"/>
      </w:rPr>
    </w:lvl>
    <w:lvl w:ilvl="8">
      <w:start w:val="1"/>
      <w:numFmt w:val="bullet"/>
      <w:lvlText w:val=""/>
      <w:lvlJc w:val="left"/>
      <w:pPr>
        <w:ind w:left="2205" w:hanging="245"/>
      </w:pPr>
      <w:rPr>
        <w:rFonts w:ascii="Symbol" w:hAnsi="Symbol" w:hint="default"/>
        <w:color w:val="9D90A0" w:themeColor="accent6"/>
        <w:sz w:val="12"/>
      </w:rPr>
    </w:lvl>
  </w:abstractNum>
  <w:abstractNum w:abstractNumId="4">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242852" w:themeColor="text2"/>
      </w:rPr>
    </w:lvl>
    <w:lvl w:ilvl="2">
      <w:start w:val="1"/>
      <w:numFmt w:val="lowerRoman"/>
      <w:lvlText w:val="%3)"/>
      <w:lvlJc w:val="left"/>
      <w:pPr>
        <w:ind w:left="864" w:hanging="288"/>
      </w:pPr>
      <w:rPr>
        <w:rFonts w:hint="default"/>
        <w:color w:val="242852" w:themeColor="text2"/>
      </w:rPr>
    </w:lvl>
    <w:lvl w:ilvl="3">
      <w:start w:val="1"/>
      <w:numFmt w:val="decimal"/>
      <w:lvlText w:val="(%4)"/>
      <w:lvlJc w:val="left"/>
      <w:pPr>
        <w:ind w:left="1152" w:hanging="288"/>
      </w:pPr>
      <w:rPr>
        <w:rFonts w:hint="default"/>
        <w:color w:val="242852" w:themeColor="text2"/>
      </w:rPr>
    </w:lvl>
    <w:lvl w:ilvl="4">
      <w:start w:val="1"/>
      <w:numFmt w:val="lowerLetter"/>
      <w:lvlText w:val="(%5)"/>
      <w:lvlJc w:val="left"/>
      <w:pPr>
        <w:ind w:left="1440" w:hanging="288"/>
      </w:pPr>
      <w:rPr>
        <w:rFonts w:hint="default"/>
        <w:color w:val="242852" w:themeColor="text2"/>
      </w:rPr>
    </w:lvl>
    <w:lvl w:ilvl="5">
      <w:start w:val="1"/>
      <w:numFmt w:val="lowerRoman"/>
      <w:lvlText w:val="(%6)"/>
      <w:lvlJc w:val="left"/>
      <w:pPr>
        <w:ind w:left="1728" w:hanging="288"/>
      </w:pPr>
      <w:rPr>
        <w:rFonts w:hint="default"/>
        <w:color w:val="242852" w:themeColor="text2"/>
      </w:rPr>
    </w:lvl>
    <w:lvl w:ilvl="6">
      <w:start w:val="1"/>
      <w:numFmt w:val="decimal"/>
      <w:lvlText w:val="%7."/>
      <w:lvlJc w:val="left"/>
      <w:pPr>
        <w:ind w:left="2016" w:hanging="288"/>
      </w:pPr>
      <w:rPr>
        <w:rFonts w:hint="default"/>
        <w:color w:val="242852" w:themeColor="text2"/>
      </w:rPr>
    </w:lvl>
    <w:lvl w:ilvl="7">
      <w:start w:val="1"/>
      <w:numFmt w:val="lowerLetter"/>
      <w:lvlText w:val="%8."/>
      <w:lvlJc w:val="left"/>
      <w:pPr>
        <w:ind w:left="2304" w:hanging="288"/>
      </w:pPr>
      <w:rPr>
        <w:rFonts w:hint="default"/>
        <w:color w:val="242852" w:themeColor="text2"/>
      </w:rPr>
    </w:lvl>
    <w:lvl w:ilvl="8">
      <w:start w:val="1"/>
      <w:numFmt w:val="lowerRoman"/>
      <w:lvlText w:val="%9."/>
      <w:lvlJc w:val="left"/>
      <w:pPr>
        <w:ind w:left="2592" w:hanging="288"/>
      </w:pPr>
      <w:rPr>
        <w:rFonts w:hint="default"/>
        <w:color w:val="242852" w:themeColor="text2"/>
      </w:rPr>
    </w:lvl>
  </w:abstractNum>
  <w:abstractNum w:abstractNumId="5">
    <w:nsid w:val="229F669B"/>
    <w:multiLevelType w:val="hybridMultilevel"/>
    <w:tmpl w:val="101425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C47332"/>
    <w:multiLevelType w:val="hybridMultilevel"/>
    <w:tmpl w:val="506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F2832"/>
    <w:multiLevelType w:val="hybridMultilevel"/>
    <w:tmpl w:val="87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7465F"/>
    <w:multiLevelType w:val="hybridMultilevel"/>
    <w:tmpl w:val="A0B0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A7D17"/>
    <w:multiLevelType w:val="hybridMultilevel"/>
    <w:tmpl w:val="5E80B4EE"/>
    <w:lvl w:ilvl="0" w:tplc="BF7C7392">
      <w:numFmt w:val="bullet"/>
      <w:lvlText w:val=""/>
      <w:lvlJc w:val="left"/>
      <w:pPr>
        <w:ind w:left="1947" w:hanging="345"/>
      </w:pPr>
      <w:rPr>
        <w:rFonts w:ascii="Wingdings" w:eastAsia="Wingdings" w:hAnsi="Wingdings" w:cs="Wingdings" w:hint="default"/>
        <w:color w:val="485157"/>
        <w:w w:val="100"/>
        <w:sz w:val="22"/>
        <w:szCs w:val="22"/>
      </w:rPr>
    </w:lvl>
    <w:lvl w:ilvl="1" w:tplc="46EC19B8">
      <w:numFmt w:val="bullet"/>
      <w:lvlText w:val="•"/>
      <w:lvlJc w:val="left"/>
      <w:pPr>
        <w:ind w:left="2944" w:hanging="345"/>
      </w:pPr>
      <w:rPr>
        <w:rFonts w:hint="default"/>
      </w:rPr>
    </w:lvl>
    <w:lvl w:ilvl="2" w:tplc="2318BAB8">
      <w:numFmt w:val="bullet"/>
      <w:lvlText w:val="•"/>
      <w:lvlJc w:val="left"/>
      <w:pPr>
        <w:ind w:left="3948" w:hanging="345"/>
      </w:pPr>
      <w:rPr>
        <w:rFonts w:hint="default"/>
      </w:rPr>
    </w:lvl>
    <w:lvl w:ilvl="3" w:tplc="BBDA40F4">
      <w:numFmt w:val="bullet"/>
      <w:lvlText w:val="•"/>
      <w:lvlJc w:val="left"/>
      <w:pPr>
        <w:ind w:left="4952" w:hanging="345"/>
      </w:pPr>
      <w:rPr>
        <w:rFonts w:hint="default"/>
      </w:rPr>
    </w:lvl>
    <w:lvl w:ilvl="4" w:tplc="636236F2">
      <w:numFmt w:val="bullet"/>
      <w:lvlText w:val="•"/>
      <w:lvlJc w:val="left"/>
      <w:pPr>
        <w:ind w:left="5956" w:hanging="345"/>
      </w:pPr>
      <w:rPr>
        <w:rFonts w:hint="default"/>
      </w:rPr>
    </w:lvl>
    <w:lvl w:ilvl="5" w:tplc="59A2F1C6">
      <w:numFmt w:val="bullet"/>
      <w:lvlText w:val="•"/>
      <w:lvlJc w:val="left"/>
      <w:pPr>
        <w:ind w:left="6960" w:hanging="345"/>
      </w:pPr>
      <w:rPr>
        <w:rFonts w:hint="default"/>
      </w:rPr>
    </w:lvl>
    <w:lvl w:ilvl="6" w:tplc="C64621C0">
      <w:numFmt w:val="bullet"/>
      <w:lvlText w:val="•"/>
      <w:lvlJc w:val="left"/>
      <w:pPr>
        <w:ind w:left="7964" w:hanging="345"/>
      </w:pPr>
      <w:rPr>
        <w:rFonts w:hint="default"/>
      </w:rPr>
    </w:lvl>
    <w:lvl w:ilvl="7" w:tplc="0576F2E0">
      <w:numFmt w:val="bullet"/>
      <w:lvlText w:val="•"/>
      <w:lvlJc w:val="left"/>
      <w:pPr>
        <w:ind w:left="8968" w:hanging="345"/>
      </w:pPr>
      <w:rPr>
        <w:rFonts w:hint="default"/>
      </w:rPr>
    </w:lvl>
    <w:lvl w:ilvl="8" w:tplc="2D16EC2C">
      <w:numFmt w:val="bullet"/>
      <w:lvlText w:val="•"/>
      <w:lvlJc w:val="left"/>
      <w:pPr>
        <w:ind w:left="9972" w:hanging="345"/>
      </w:pPr>
      <w:rPr>
        <w:rFonts w:hint="default"/>
      </w:rPr>
    </w:lvl>
  </w:abstractNum>
  <w:abstractNum w:abstractNumId="10">
    <w:nsid w:val="60B678BD"/>
    <w:multiLevelType w:val="hybridMultilevel"/>
    <w:tmpl w:val="56383BDA"/>
    <w:lvl w:ilvl="0" w:tplc="BF7C7392">
      <w:numFmt w:val="bullet"/>
      <w:lvlText w:val=""/>
      <w:lvlJc w:val="left"/>
      <w:pPr>
        <w:ind w:left="720" w:hanging="360"/>
      </w:pPr>
      <w:rPr>
        <w:rFonts w:ascii="Wingdings" w:eastAsia="Wingdings" w:hAnsi="Wingdings" w:cs="Wingdings" w:hint="default"/>
        <w:color w:val="485157"/>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01B43"/>
    <w:multiLevelType w:val="hybridMultilevel"/>
    <w:tmpl w:val="3E62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07592A"/>
    <w:multiLevelType w:val="hybridMultilevel"/>
    <w:tmpl w:val="D97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97016"/>
    <w:multiLevelType w:val="hybridMultilevel"/>
    <w:tmpl w:val="BB5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7"/>
  </w:num>
  <w:num w:numId="8">
    <w:abstractNumId w:val="0"/>
  </w:num>
  <w:num w:numId="9">
    <w:abstractNumId w:val="2"/>
  </w:num>
  <w:num w:numId="10">
    <w:abstractNumId w:val="8"/>
  </w:num>
  <w:num w:numId="11">
    <w:abstractNumId w:val="13"/>
  </w:num>
  <w:num w:numId="12">
    <w:abstractNumId w:val="11"/>
  </w:num>
  <w:num w:numId="13">
    <w:abstractNumId w:val="5"/>
  </w:num>
  <w:num w:numId="14">
    <w:abstractNumId w:val="1"/>
  </w:num>
  <w:num w:numId="15">
    <w:abstractNumId w:val="9"/>
  </w:num>
  <w:num w:numId="16">
    <w:abstractNumId w:val="1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E1"/>
    <w:rsid w:val="00024206"/>
    <w:rsid w:val="00027C83"/>
    <w:rsid w:val="00061B3B"/>
    <w:rsid w:val="00070893"/>
    <w:rsid w:val="0009398A"/>
    <w:rsid w:val="000A45FB"/>
    <w:rsid w:val="000D3929"/>
    <w:rsid w:val="001014BD"/>
    <w:rsid w:val="00114983"/>
    <w:rsid w:val="00137549"/>
    <w:rsid w:val="00156049"/>
    <w:rsid w:val="00171EE1"/>
    <w:rsid w:val="0018059A"/>
    <w:rsid w:val="00180D59"/>
    <w:rsid w:val="001817ED"/>
    <w:rsid w:val="00182B6C"/>
    <w:rsid w:val="00196BDB"/>
    <w:rsid w:val="001A587E"/>
    <w:rsid w:val="001A5F54"/>
    <w:rsid w:val="001D249A"/>
    <w:rsid w:val="001D2EE7"/>
    <w:rsid w:val="001E005D"/>
    <w:rsid w:val="002057D4"/>
    <w:rsid w:val="00227ABD"/>
    <w:rsid w:val="002368EA"/>
    <w:rsid w:val="002437FB"/>
    <w:rsid w:val="002749FE"/>
    <w:rsid w:val="002934B5"/>
    <w:rsid w:val="002B0105"/>
    <w:rsid w:val="002B4D6E"/>
    <w:rsid w:val="002B4DC6"/>
    <w:rsid w:val="002B7DEC"/>
    <w:rsid w:val="002D1895"/>
    <w:rsid w:val="00304EA3"/>
    <w:rsid w:val="003300CD"/>
    <w:rsid w:val="003427F3"/>
    <w:rsid w:val="003B65DA"/>
    <w:rsid w:val="003C71AE"/>
    <w:rsid w:val="00410BFC"/>
    <w:rsid w:val="00427B19"/>
    <w:rsid w:val="00431C74"/>
    <w:rsid w:val="00447E34"/>
    <w:rsid w:val="00453E07"/>
    <w:rsid w:val="00484E4D"/>
    <w:rsid w:val="004858B1"/>
    <w:rsid w:val="004D67F5"/>
    <w:rsid w:val="00515371"/>
    <w:rsid w:val="005179B0"/>
    <w:rsid w:val="0052700B"/>
    <w:rsid w:val="00555519"/>
    <w:rsid w:val="00567EF1"/>
    <w:rsid w:val="00592033"/>
    <w:rsid w:val="005C152B"/>
    <w:rsid w:val="005E7878"/>
    <w:rsid w:val="00631ACB"/>
    <w:rsid w:val="006372C2"/>
    <w:rsid w:val="006610E4"/>
    <w:rsid w:val="006720D2"/>
    <w:rsid w:val="0069397B"/>
    <w:rsid w:val="00694BB3"/>
    <w:rsid w:val="006B49CD"/>
    <w:rsid w:val="006E2951"/>
    <w:rsid w:val="006E5776"/>
    <w:rsid w:val="00703E3A"/>
    <w:rsid w:val="00717F37"/>
    <w:rsid w:val="00760741"/>
    <w:rsid w:val="0078262D"/>
    <w:rsid w:val="00791032"/>
    <w:rsid w:val="007A4D55"/>
    <w:rsid w:val="00837401"/>
    <w:rsid w:val="008442D5"/>
    <w:rsid w:val="0086529A"/>
    <w:rsid w:val="00867DC9"/>
    <w:rsid w:val="00867E17"/>
    <w:rsid w:val="008776C6"/>
    <w:rsid w:val="008B155D"/>
    <w:rsid w:val="008C7BFB"/>
    <w:rsid w:val="008D1690"/>
    <w:rsid w:val="008E318B"/>
    <w:rsid w:val="00904189"/>
    <w:rsid w:val="00917006"/>
    <w:rsid w:val="00926AE9"/>
    <w:rsid w:val="00936E66"/>
    <w:rsid w:val="00944704"/>
    <w:rsid w:val="0097461A"/>
    <w:rsid w:val="00991D4F"/>
    <w:rsid w:val="009A578F"/>
    <w:rsid w:val="009B6747"/>
    <w:rsid w:val="00A30791"/>
    <w:rsid w:val="00A33733"/>
    <w:rsid w:val="00A63375"/>
    <w:rsid w:val="00A957D7"/>
    <w:rsid w:val="00A97F0A"/>
    <w:rsid w:val="00AC48C4"/>
    <w:rsid w:val="00B1621F"/>
    <w:rsid w:val="00B16FD1"/>
    <w:rsid w:val="00B41528"/>
    <w:rsid w:val="00B41F93"/>
    <w:rsid w:val="00B7534C"/>
    <w:rsid w:val="00BA68E9"/>
    <w:rsid w:val="00BC55D5"/>
    <w:rsid w:val="00BC69E0"/>
    <w:rsid w:val="00C00C97"/>
    <w:rsid w:val="00C00EA9"/>
    <w:rsid w:val="00C01C85"/>
    <w:rsid w:val="00C108A0"/>
    <w:rsid w:val="00C13FCF"/>
    <w:rsid w:val="00C24216"/>
    <w:rsid w:val="00C313BD"/>
    <w:rsid w:val="00C446DC"/>
    <w:rsid w:val="00C61BA9"/>
    <w:rsid w:val="00C668E0"/>
    <w:rsid w:val="00C834BA"/>
    <w:rsid w:val="00C93347"/>
    <w:rsid w:val="00CD2562"/>
    <w:rsid w:val="00CE0568"/>
    <w:rsid w:val="00CE73EC"/>
    <w:rsid w:val="00CF06EE"/>
    <w:rsid w:val="00CF6687"/>
    <w:rsid w:val="00D0368D"/>
    <w:rsid w:val="00D03F4F"/>
    <w:rsid w:val="00D07714"/>
    <w:rsid w:val="00D109FD"/>
    <w:rsid w:val="00D11A64"/>
    <w:rsid w:val="00D1539D"/>
    <w:rsid w:val="00D2315A"/>
    <w:rsid w:val="00D34565"/>
    <w:rsid w:val="00DA09F6"/>
    <w:rsid w:val="00DE52BF"/>
    <w:rsid w:val="00DF538A"/>
    <w:rsid w:val="00E002BF"/>
    <w:rsid w:val="00E7461D"/>
    <w:rsid w:val="00E804BD"/>
    <w:rsid w:val="00E91F8D"/>
    <w:rsid w:val="00ED2F3A"/>
    <w:rsid w:val="00EE14F2"/>
    <w:rsid w:val="00F41174"/>
    <w:rsid w:val="00FC04A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CC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F2"/>
    <w:rPr>
      <w:rFonts w:cstheme="minorHAnsi"/>
      <w:color w:val="1B1D3D" w:themeColor="text2" w:themeShade="BF"/>
      <w:sz w:val="20"/>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F2"/>
    <w:rPr>
      <w:rFonts w:cstheme="minorHAnsi"/>
      <w:color w:val="1B1D3D" w:themeColor="text2" w:themeShade="BF"/>
      <w:sz w:val="20"/>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20Gatz\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Presdent &amp; CEO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C871-0A98-4F4E-84D6-177B62D27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\Users\Ani Gatz\AppData\Roaming\Microsoft\Templates\Report (Oriel theme).dotx</Template>
  <TotalTime>3</TotalTime>
  <Pages>2</Pages>
  <Words>335</Words>
  <Characters>1913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Establishing A Corporate Foundation</vt:lpstr>
    </vt:vector>
  </TitlesOfParts>
  <Company>Double tax benefit – estate obtains charitable deduction and heirs avoid income tax</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Corporate Foundation</dc:title>
  <dc:subject>____________________________________________________</dc:subject>
  <dc:creator>MSPTech</dc:creator>
  <cp:keywords/>
  <cp:lastModifiedBy>admin</cp:lastModifiedBy>
  <cp:revision>4</cp:revision>
  <cp:lastPrinted>2017-07-14T20:37:00Z</cp:lastPrinted>
  <dcterms:created xsi:type="dcterms:W3CDTF">2019-03-08T18:37:00Z</dcterms:created>
  <dcterms:modified xsi:type="dcterms:W3CDTF">2019-03-08T19:30:00Z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